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Default Extension="fntdata" ContentType="application/x-fontdata"/>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9865"/>
      </w:tblGrid>
      <w:tr>
        <w:tc>
          <w:tcPr>
            <w:tcW w:type="dxa" w:w="9865"/>
            <w:shd w:val="clear" w:color="auto" w:fill="35394F"/>
            <w:tcMar>
              <w:top w:w="240" w:type="dxa"/>
              <w:left w:w="0" w:type="dxa"/>
              <w:bottom w:w="240" w:type="dxa"/>
              <w:right w:w="0" w:type="dxa"/>
            </w:tcMar>
          </w:tcPr>
          <w:p>
            <w:pPr>
              <w:spacing w:before="0" w:after="0" w:line="240" w:lineRule="auto"/>
              <w:ind w:left="260" w:right="260"/>
              <w:jc w:val="right"/>
            </w:pPr>
            <w:hyperlink r:id="rId10">
              <w:r>
                <w:drawing>
                  <wp:inline xmlns:a="http://schemas.openxmlformats.org/drawingml/2006/main" xmlns:pic="http://schemas.openxmlformats.org/drawingml/2006/picture">
                    <wp:extent cx="720000" cy="391800"/>
                    <wp:docPr id="1" name="Picture 1" descr="ETHYX — ethyx.eu" title="ETHYX — ethyx.eu"/>
                    <wp:cNvGraphicFramePr>
                      <a:graphicFrameLocks noChangeAspect="1"/>
                    </wp:cNvGraphicFramePr>
                    <a:graphic>
                      <a:graphicData uri="http://schemas.openxmlformats.org/drawingml/2006/picture">
                        <pic:pic>
                          <pic:nvPicPr>
                            <pic:cNvPr id="0" name="logo-lockup.png"/>
                            <pic:cNvPicPr/>
                          </pic:nvPicPr>
                          <pic:blipFill>
                            <a:blip r:embed="rId9"/>
                            <a:stretch>
                              <a:fillRect/>
                            </a:stretch>
                          </pic:blipFill>
                          <pic:spPr>
                            <a:xfrm>
                              <a:off x="0" y="0"/>
                              <a:ext cx="720000" cy="391800"/>
                            </a:xfrm>
                            <a:prstGeom prst="rect"/>
                          </pic:spPr>
                        </pic:pic>
                      </a:graphicData>
                    </a:graphic>
                  </wp:inline>
                </w:drawing>
              </w:r>
            </w:hyperlink>
          </w:p>
          <w:p>
            <w:pPr>
              <w:spacing w:before="0" w:after="0" w:line="240" w:lineRule="exact"/>
              <w:ind w:left="260" w:right="260"/>
            </w:pPr>
          </w:p>
          <w:p>
            <w:pPr>
              <w:spacing w:before="0" w:after="0" w:line="252" w:lineRule="auto"/>
              <w:ind w:left="260" w:right="260"/>
            </w:pPr>
            <w:r>
              <w:rPr>
                <w:rFonts w:ascii="Funnel Display" w:hAnsi="Funnel Display" w:cs="Funnel Display" w:eastAsia="Funnel Display"/>
                <w:b/>
                <w:i w:val="0"/>
                <w:color w:val="FFFFFF"/>
                <w:sz w:val="44"/>
              </w:rPr>
              <w:t>EU AI Act Readiness Roadmap</w:t>
            </w:r>
          </w:p>
          <w:p>
            <w:pPr>
              <w:spacing w:before="100" w:after="0" w:line="276" w:lineRule="auto"/>
              <w:ind w:left="260" w:right="260"/>
            </w:pPr>
            <w:r>
              <w:rPr>
                <w:rFonts w:ascii="Inter" w:hAnsi="Inter" w:cs="Inter" w:eastAsia="Inter"/>
                <w:b w:val="0"/>
                <w:i w:val="0"/>
                <w:color w:val="FFFFFF"/>
                <w:sz w:val="21"/>
              </w:rPr>
              <w:t>A phased action plan to reach EU AI Act compliance · For SME deployers · EN</w:t>
            </w:r>
          </w:p>
          <w:p>
            <w:pPr>
              <w:spacing w:before="140" w:after="0" w:line="288" w:lineRule="auto"/>
              <w:ind w:left="260" w:right="260"/>
            </w:pPr>
            <w:r>
              <w:rPr>
                <w:rFonts w:ascii="Inter" w:hAnsi="Inter" w:cs="Inter" w:eastAsia="Inter"/>
                <w:b w:val="0"/>
                <w:i w:val="0"/>
                <w:color w:val="E5E7EB"/>
                <w:sz w:val="15"/>
              </w:rPr>
              <w:t>Legally reviewed by a certified Data Protection Officer (CIPP/E) · Provided by ETHYX · Version 1.1 · July 2026</w:t>
            </w:r>
          </w:p>
        </w:tc>
      </w:tr>
    </w:tbl>
    <w:p>
      <w:pPr>
        <w:shd w:val="clear" w:color="auto" w:fill="E34663"/>
        <w:spacing w:before="0" w:after="200" w:line="60" w:lineRule="exact"/>
      </w:pPr>
    </w:p>
    <w:p>
      <w:pPr>
        <w:spacing w:before="0" w:after="0" w:line="120" w:lineRule="exact"/>
      </w:pP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45"/>
        <w:gridCol w:w="9819"/>
      </w:tblGrid>
      <w:tr>
        <w:trPr>
          <w:cantSplit w:val="1"/>
        </w:trPr>
        <w:tc>
          <w:tcPr>
            <w:tcW w:type="dxa" w:w="45"/>
            <w:shd w:val="clear" w:color="auto" w:fill="E34663"/>
            <w:tcMar>
              <w:top w:w="130" w:type="dxa"/>
              <w:left w:w="0" w:type="dxa"/>
              <w:bottom w:w="130" w:type="dxa"/>
              <w:right w:w="0" w:type="dxa"/>
            </w:tcMar>
          </w:tcPr>
          <w:p/>
        </w:tc>
        <w:tc>
          <w:tcPr>
            <w:tcW w:type="dxa" w:w="9819"/>
            <w:shd w:val="clear" w:color="auto" w:fill="FEF6F7"/>
            <w:tcMar>
              <w:top w:w="130" w:type="dxa"/>
              <w:left w:w="0" w:type="dxa"/>
              <w:bottom w:w="130" w:type="dxa"/>
              <w:right w:w="0" w:type="dxa"/>
            </w:tcMar>
          </w:tcPr>
          <w:p>
            <w:pPr>
              <w:spacing w:before="0" w:after="0" w:line="312" w:lineRule="auto"/>
              <w:ind w:left="215" w:right="260"/>
            </w:pPr>
            <w:r>
              <w:rPr>
                <w:rFonts w:ascii="Funnel Display" w:hAnsi="Funnel Display" w:cs="Funnel Display" w:eastAsia="Funnel Display"/>
                <w:b/>
                <w:i w:val="0"/>
                <w:color w:val="E34663"/>
                <w:spacing w:val="8"/>
                <w:sz w:val="16"/>
              </w:rPr>
              <w:t xml:space="preserve">» HOW TO USE  </w:t>
            </w:r>
            <w:r>
              <w:rPr>
                <w:rFonts w:ascii="Inter" w:hAnsi="Inter" w:cs="Inter" w:eastAsia="Inter"/>
                <w:b w:val="0"/>
                <w:i w:val="0"/>
                <w:color w:val="35394F"/>
                <w:sz w:val="16"/>
              </w:rPr>
              <w:t>This roadmap sequences your path to EU AI Act readiness into five phases. Work through them in order – each phase builds on the last. The action tables list concrete steps; tick each as you complete it and assign an owner. Phases reference the companion ETHYX templates (AI System Inventory, AI Risk Classification Checklist, Deployer Documentation Pack, AI Literacy Training Template). Delete this box before finalising.</w:t>
            </w:r>
          </w:p>
        </w:tc>
      </w:tr>
    </w:tbl>
    <w:p>
      <w:pPr>
        <w:spacing w:before="0" w:after="0" w:line="120" w:lineRule="exact"/>
      </w:pP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Where the EU AI Act stands today</w:t>
      </w:r>
    </w:p>
    <w:p>
      <w:pPr>
        <w:spacing w:before="0" w:after="120" w:line="324" w:lineRule="auto"/>
        <w:ind w:left="260" w:right="260"/>
      </w:pPr>
      <w:r>
        <w:rPr>
          <w:rFonts w:ascii="Inter" w:hAnsi="Inter" w:cs="Inter" w:eastAsia="Inter"/>
          <w:b w:val="0"/>
          <w:i w:val="0"/>
          <w:color w:val="35394F"/>
          <w:sz w:val="20"/>
        </w:rPr>
        <w:t>The EU AI Act (Regulation 2024/1689) entered into force in 2024 and applies in stages. Prohibited-practice rules and AI literacy obligations (Art. 4) already apply. Obligations for general-purpose AI and most deployer duties phase in through 2026-2028: under the Digital Omnibus (adopted June 2026), Annex III high-risk duties, including Art. 26/27 deployer obligations, apply from 2 December 2027 and Annex I from 2 August 2028, while Art. 4 AI literacy and Art. 50 transparency stay on their original dates. The direction is clear: if your business uses AI, you have obligations now and more arriving – building readiness early is cheaper than retrofitting under pressure.</w:t>
      </w:r>
    </w:p>
    <w:p>
      <w:pPr>
        <w:spacing w:before="0" w:after="120" w:line="324" w:lineRule="auto"/>
        <w:ind w:left="260" w:right="260"/>
      </w:pPr>
      <w:r>
        <w:rPr>
          <w:rFonts w:ascii="Inter" w:hAnsi="Inter" w:cs="Inter" w:eastAsia="Inter"/>
          <w:b w:val="0"/>
          <w:i w:val="0"/>
          <w:color w:val="35394F"/>
          <w:sz w:val="20"/>
        </w:rPr>
        <w:t>This roadmap focuses on your role as a deployer (a business that uses AI systems), not a provider (one that develops and places AI systems on the market). Most SMEs are deployers.</w:t>
      </w: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The five phases at a glance</w:t>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3551"/>
        <w:gridCol w:w="6313"/>
      </w:tblGrid>
      <w:tr>
        <w:trPr>
          <w:cantSplit w:val="1"/>
        </w:trPr>
        <w:tc>
          <w:tcPr>
            <w:tcW w:type="dxa" w:w="3551"/>
            <w:tcBorders>
              <w:bottom w:val="single" w:sz="2" w:space="0" w:color="E5E7EB"/>
            </w:tcBorders>
            <w:shd w:val="clear" w:color="auto" w:fill="F9FAFB"/>
            <w:tcMar>
              <w:top w:w="90" w:type="dxa"/>
              <w:left w:w="0" w:type="dxa"/>
              <w:bottom w:w="90" w:type="dxa"/>
              <w:right w:w="120" w:type="dxa"/>
            </w:tcMar>
            <w:vAlign w:val="top"/>
          </w:tcPr>
          <w:p>
            <w:pPr>
              <w:spacing w:before="0" w:after="0" w:line="300" w:lineRule="auto"/>
              <w:ind w:left="260" w:right="0"/>
            </w:pPr>
            <w:r>
              <w:rPr>
                <w:rFonts w:ascii="Inter" w:hAnsi="Inter" w:cs="Inter" w:eastAsia="Inter"/>
                <w:b/>
                <w:i w:val="0"/>
                <w:color w:val="35394F"/>
                <w:sz w:val="20"/>
              </w:rPr>
              <w:t>Phase 1 – Discover</w:t>
            </w:r>
          </w:p>
        </w:tc>
        <w:tc>
          <w:tcPr>
            <w:tcW w:type="dxa" w:w="6313"/>
            <w:tcBorders>
              <w:bottom w:val="single" w:sz="2" w:space="0" w:color="E5E7EB"/>
            </w:tcBorders>
            <w:tcMar>
              <w:top w:w="90" w:type="dxa"/>
              <w:left w:w="120" w:type="dxa"/>
              <w:bottom w:w="90" w:type="dxa"/>
              <w:right w:w="120" w:type="dxa"/>
            </w:tcMar>
            <w:vAlign w:val="top"/>
          </w:tcPr>
          <w:p>
            <w:pPr>
              <w:spacing w:before="0" w:after="0" w:line="300" w:lineRule="auto"/>
            </w:pPr>
            <w:r>
              <w:rPr>
                <w:rFonts w:ascii="Inter" w:hAnsi="Inter" w:cs="Inter" w:eastAsia="Inter"/>
                <w:b w:val="0"/>
                <w:i w:val="0"/>
                <w:color w:val="35394F"/>
                <w:sz w:val="20"/>
              </w:rPr>
              <w:t>Build a complete inventory of every AI system in use, including shadow-AI.</w:t>
            </w:r>
          </w:p>
        </w:tc>
      </w:tr>
      <w:tr>
        <w:trPr>
          <w:cantSplit w:val="1"/>
        </w:trPr>
        <w:tc>
          <w:tcPr>
            <w:tcW w:type="dxa" w:w="3551"/>
            <w:tcBorders>
              <w:bottom w:val="single" w:sz="2" w:space="0" w:color="E5E7EB"/>
            </w:tcBorders>
            <w:shd w:val="clear" w:color="auto" w:fill="F9FAFB"/>
            <w:tcMar>
              <w:top w:w="90" w:type="dxa"/>
              <w:left w:w="0" w:type="dxa"/>
              <w:bottom w:w="90" w:type="dxa"/>
              <w:right w:w="120" w:type="dxa"/>
            </w:tcMar>
            <w:vAlign w:val="top"/>
          </w:tcPr>
          <w:p>
            <w:pPr>
              <w:spacing w:before="0" w:after="0" w:line="300" w:lineRule="auto"/>
              <w:ind w:left="260" w:right="0"/>
            </w:pPr>
            <w:r>
              <w:rPr>
                <w:rFonts w:ascii="Inter" w:hAnsi="Inter" w:cs="Inter" w:eastAsia="Inter"/>
                <w:b/>
                <w:i w:val="0"/>
                <w:color w:val="35394F"/>
                <w:sz w:val="20"/>
              </w:rPr>
              <w:t>Phase 2 – Classify</w:t>
            </w:r>
          </w:p>
        </w:tc>
        <w:tc>
          <w:tcPr>
            <w:tcW w:type="dxa" w:w="6313"/>
            <w:tcBorders>
              <w:bottom w:val="single" w:sz="2" w:space="0" w:color="E5E7EB"/>
            </w:tcBorders>
            <w:tcMar>
              <w:top w:w="90" w:type="dxa"/>
              <w:left w:w="120" w:type="dxa"/>
              <w:bottom w:w="90" w:type="dxa"/>
              <w:right w:w="120" w:type="dxa"/>
            </w:tcMar>
            <w:vAlign w:val="top"/>
          </w:tcPr>
          <w:p>
            <w:pPr>
              <w:spacing w:before="0" w:after="0" w:line="300" w:lineRule="auto"/>
            </w:pPr>
            <w:r>
              <w:rPr>
                <w:rFonts w:ascii="Inter" w:hAnsi="Inter" w:cs="Inter" w:eastAsia="Inter"/>
                <w:b w:val="0"/>
                <w:i w:val="0"/>
                <w:color w:val="35394F"/>
                <w:sz w:val="20"/>
              </w:rPr>
              <w:t>Determine the risk level of each system (prohibited / high / limited / minimal).</w:t>
            </w:r>
          </w:p>
        </w:tc>
      </w:tr>
      <w:tr>
        <w:trPr>
          <w:cantSplit w:val="1"/>
        </w:trPr>
        <w:tc>
          <w:tcPr>
            <w:tcW w:type="dxa" w:w="3551"/>
            <w:tcBorders>
              <w:bottom w:val="single" w:sz="2" w:space="0" w:color="E5E7EB"/>
            </w:tcBorders>
            <w:shd w:val="clear" w:color="auto" w:fill="F9FAFB"/>
            <w:tcMar>
              <w:top w:w="90" w:type="dxa"/>
              <w:left w:w="0" w:type="dxa"/>
              <w:bottom w:w="90" w:type="dxa"/>
              <w:right w:w="120" w:type="dxa"/>
            </w:tcMar>
            <w:vAlign w:val="top"/>
          </w:tcPr>
          <w:p>
            <w:pPr>
              <w:spacing w:before="0" w:after="0" w:line="300" w:lineRule="auto"/>
              <w:ind w:left="260" w:right="0"/>
            </w:pPr>
            <w:r>
              <w:rPr>
                <w:rFonts w:ascii="Inter" w:hAnsi="Inter" w:cs="Inter" w:eastAsia="Inter"/>
                <w:b/>
                <w:i w:val="0"/>
                <w:color w:val="35394F"/>
                <w:sz w:val="20"/>
              </w:rPr>
              <w:t>Phase 3 – Document</w:t>
            </w:r>
          </w:p>
        </w:tc>
        <w:tc>
          <w:tcPr>
            <w:tcW w:type="dxa" w:w="6313"/>
            <w:tcBorders>
              <w:bottom w:val="single" w:sz="2" w:space="0" w:color="E5E7EB"/>
            </w:tcBorders>
            <w:tcMar>
              <w:top w:w="90" w:type="dxa"/>
              <w:left w:w="120" w:type="dxa"/>
              <w:bottom w:w="90" w:type="dxa"/>
              <w:right w:w="120" w:type="dxa"/>
            </w:tcMar>
            <w:vAlign w:val="top"/>
          </w:tcPr>
          <w:p>
            <w:pPr>
              <w:spacing w:before="0" w:after="0" w:line="300" w:lineRule="auto"/>
            </w:pPr>
            <w:r>
              <w:rPr>
                <w:rFonts w:ascii="Inter" w:hAnsi="Inter" w:cs="Inter" w:eastAsia="Inter"/>
                <w:b w:val="0"/>
                <w:i w:val="0"/>
                <w:color w:val="35394F"/>
                <w:sz w:val="20"/>
              </w:rPr>
              <w:t>Complete deployer documentation for high-risk and limited-risk systems.</w:t>
            </w:r>
          </w:p>
        </w:tc>
      </w:tr>
      <w:tr>
        <w:trPr>
          <w:cantSplit w:val="1"/>
        </w:trPr>
        <w:tc>
          <w:tcPr>
            <w:tcW w:type="dxa" w:w="3551"/>
            <w:tcBorders>
              <w:bottom w:val="single" w:sz="2" w:space="0" w:color="E5E7EB"/>
            </w:tcBorders>
            <w:shd w:val="clear" w:color="auto" w:fill="F9FAFB"/>
            <w:tcMar>
              <w:top w:w="90" w:type="dxa"/>
              <w:left w:w="0" w:type="dxa"/>
              <w:bottom w:w="90" w:type="dxa"/>
              <w:right w:w="120" w:type="dxa"/>
            </w:tcMar>
            <w:vAlign w:val="top"/>
          </w:tcPr>
          <w:p>
            <w:pPr>
              <w:spacing w:before="0" w:after="0" w:line="300" w:lineRule="auto"/>
              <w:ind w:left="260" w:right="0"/>
            </w:pPr>
            <w:r>
              <w:rPr>
                <w:rFonts w:ascii="Inter" w:hAnsi="Inter" w:cs="Inter" w:eastAsia="Inter"/>
                <w:b/>
                <w:i w:val="0"/>
                <w:color w:val="35394F"/>
                <w:sz w:val="20"/>
              </w:rPr>
              <w:t>Phase 4 – Train &amp; govern</w:t>
            </w:r>
          </w:p>
        </w:tc>
        <w:tc>
          <w:tcPr>
            <w:tcW w:type="dxa" w:w="6313"/>
            <w:tcBorders>
              <w:bottom w:val="single" w:sz="2" w:space="0" w:color="E5E7EB"/>
            </w:tcBorders>
            <w:tcMar>
              <w:top w:w="90" w:type="dxa"/>
              <w:left w:w="120" w:type="dxa"/>
              <w:bottom w:w="90" w:type="dxa"/>
              <w:right w:w="120" w:type="dxa"/>
            </w:tcMar>
            <w:vAlign w:val="top"/>
          </w:tcPr>
          <w:p>
            <w:pPr>
              <w:spacing w:before="0" w:after="0" w:line="300" w:lineRule="auto"/>
            </w:pPr>
            <w:r>
              <w:rPr>
                <w:rFonts w:ascii="Inter" w:hAnsi="Inter" w:cs="Inter" w:eastAsia="Inter"/>
                <w:b w:val="0"/>
                <w:i w:val="0"/>
                <w:color w:val="35394F"/>
                <w:sz w:val="20"/>
              </w:rPr>
              <w:t>Deliver AI literacy training and put an acceptable-use policy in place.</w:t>
            </w:r>
          </w:p>
        </w:tc>
      </w:tr>
      <w:tr>
        <w:trPr>
          <w:cantSplit w:val="1"/>
        </w:trPr>
        <w:tc>
          <w:tcPr>
            <w:tcW w:type="dxa" w:w="3551"/>
            <w:tcBorders>
              <w:bottom w:val="single" w:sz="2" w:space="0" w:color="E5E7EB"/>
            </w:tcBorders>
            <w:shd w:val="clear" w:color="auto" w:fill="F9FAFB"/>
            <w:tcMar>
              <w:top w:w="90" w:type="dxa"/>
              <w:left w:w="0" w:type="dxa"/>
              <w:bottom w:w="90" w:type="dxa"/>
              <w:right w:w="120" w:type="dxa"/>
            </w:tcMar>
            <w:vAlign w:val="top"/>
          </w:tcPr>
          <w:p>
            <w:pPr>
              <w:spacing w:before="0" w:after="0" w:line="300" w:lineRule="auto"/>
              <w:ind w:left="260" w:right="0"/>
            </w:pPr>
            <w:r>
              <w:rPr>
                <w:rFonts w:ascii="Inter" w:hAnsi="Inter" w:cs="Inter" w:eastAsia="Inter"/>
                <w:b/>
                <w:i w:val="0"/>
                <w:color w:val="35394F"/>
                <w:sz w:val="20"/>
              </w:rPr>
              <w:t>Phase 5 – Monitor &amp; maintain</w:t>
            </w:r>
          </w:p>
        </w:tc>
        <w:tc>
          <w:tcPr>
            <w:tcW w:type="dxa" w:w="6313"/>
            <w:tcBorders>
              <w:bottom w:val="single" w:sz="2" w:space="0" w:color="E5E7EB"/>
            </w:tcBorders>
            <w:tcMar>
              <w:top w:w="90" w:type="dxa"/>
              <w:left w:w="120" w:type="dxa"/>
              <w:bottom w:w="90" w:type="dxa"/>
              <w:right w:w="120" w:type="dxa"/>
            </w:tcMar>
            <w:vAlign w:val="top"/>
          </w:tcPr>
          <w:p>
            <w:pPr>
              <w:spacing w:before="0" w:after="0" w:line="300" w:lineRule="auto"/>
            </w:pPr>
            <w:r>
              <w:rPr>
                <w:rFonts w:ascii="Inter" w:hAnsi="Inter" w:cs="Inter" w:eastAsia="Inter"/>
                <w:b w:val="0"/>
                <w:i w:val="0"/>
                <w:color w:val="35394F"/>
                <w:sz w:val="20"/>
              </w:rPr>
              <w:t>Review periodically, log operation, and keep documentation current.</w:t>
            </w:r>
          </w:p>
        </w:tc>
      </w:tr>
    </w:tbl>
    <w:p>
      <w:pPr>
        <w:spacing w:before="0" w:after="0" w:line="160" w:lineRule="exact"/>
      </w:pPr>
    </w:p>
    <w:p>
      <w:pPr>
        <w:keepNext w:val="1"/>
        <w:keepLines w:val="1"/>
        <w:shd w:val="clear" w:color="auto" w:fill="35394F"/>
        <w:spacing w:before="110" w:after="110" w:line="240" w:lineRule="auto"/>
        <w:ind w:left="0" w:right="0" w:firstLine="260"/>
      </w:pPr>
      <w:r>
        <w:rPr>
          <w:rFonts w:ascii="Funnel Display" w:hAnsi="Funnel Display" w:cs="Funnel Display" w:eastAsia="Funnel Display"/>
          <w:b/>
          <w:i w:val="0"/>
          <w:color w:val="FFFFFF"/>
          <w:sz w:val="23"/>
        </w:rPr>
        <w:t>PHASE 1 – Discover: build your AI inventory</w:t>
      </w:r>
    </w:p>
    <w:p>
      <w:pPr>
        <w:keepNext w:val="1"/>
        <w:keepLines w:val="1"/>
        <w:spacing w:before="0" w:after="0" w:line="120" w:lineRule="exact"/>
      </w:pPr>
    </w:p>
    <w:p>
      <w:pPr>
        <w:keepNext w:val="1"/>
        <w:keepLines w:val="1"/>
        <w:spacing w:before="0" w:after="120" w:line="324" w:lineRule="auto"/>
        <w:ind w:left="260" w:right="260"/>
      </w:pPr>
      <w:r>
        <w:rPr>
          <w:rFonts w:ascii="Inter" w:hAnsi="Inter" w:cs="Inter" w:eastAsia="Inter"/>
          <w:b w:val="0"/>
          <w:i w:val="0"/>
          <w:color w:val="35394F"/>
          <w:sz w:val="20"/>
        </w:rPr>
        <w:t>You cannot govern what you cannot see. Most compliance gaps in SMEs are shadow-AI – tools teams adopted without central approval. Find everything first.</w:t>
      </w:r>
    </w:p>
    <w:p>
      <w:pPr>
        <w:keepNext w:val="1"/>
        <w:keepLines w:val="1"/>
        <w:spacing w:before="40" w:after="160" w:line="300" w:lineRule="auto"/>
        <w:ind w:left="260" w:right="260"/>
      </w:pPr>
      <w:r>
        <w:rPr>
          <w:rFonts w:ascii="Inter" w:hAnsi="Inter" w:cs="Inter" w:eastAsia="Inter"/>
          <w:b/>
          <w:i w:val="0"/>
          <w:color w:val="E34663"/>
          <w:sz w:val="16"/>
        </w:rPr>
        <w:t>→ Use the ETHYX AI System Inventory Template.</w:t>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7175"/>
        <w:gridCol w:w="938"/>
        <w:gridCol w:w="986"/>
        <w:gridCol w:w="765"/>
      </w:tblGrid>
      <w:tr>
        <w:trPr>
          <w:cantSplit w:val="1"/>
          <w:tblHeader w:val="1"/>
        </w:trPr>
        <w:tc>
          <w:tcPr>
            <w:tcW w:type="dxa" w:w="7175"/>
            <w:shd w:val="clear" w:color="auto" w:fill="35394F"/>
            <w:tcMar>
              <w:top w:w="70" w:type="dxa"/>
              <w:left w:w="0" w:type="dxa"/>
              <w:bottom w:w="70" w:type="dxa"/>
              <w:right w:w="120" w:type="dxa"/>
            </w:tcMar>
            <w:vAlign w:val="center"/>
          </w:tcPr>
          <w:p>
            <w:pPr>
              <w:spacing w:before="0" w:after="0" w:line="240" w:lineRule="auto"/>
              <w:ind w:left="260" w:right="0"/>
            </w:pPr>
            <w:r>
              <w:rPr>
                <w:rFonts w:ascii="Inter" w:hAnsi="Inter" w:cs="Inter" w:eastAsia="Inter"/>
                <w:b/>
                <w:i w:val="0"/>
                <w:caps w:val="1"/>
                <w:color w:val="FFFFFF"/>
                <w:spacing w:val="8"/>
                <w:sz w:val="15"/>
              </w:rPr>
              <w:t>Action</w:t>
            </w:r>
          </w:p>
        </w:tc>
        <w:tc>
          <w:tcPr>
            <w:tcW w:type="dxa" w:w="938"/>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Owner</w:t>
            </w:r>
          </w:p>
        </w:tc>
        <w:tc>
          <w:tcPr>
            <w:tcW w:type="dxa" w:w="986"/>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Target date</w:t>
            </w:r>
          </w:p>
        </w:tc>
        <w:tc>
          <w:tcPr>
            <w:tcW w:type="dxa" w:w="765"/>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Done</w:t>
            </w:r>
          </w:p>
        </w:tc>
      </w:tr>
      <w:tr>
        <w:trPr>
          <w:cantSplit w:val="1"/>
        </w:trPr>
        <w:tc>
          <w:tcPr>
            <w:tcW w:type="dxa" w:w="7175"/>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Appoint an AI coordinator to own the process.</w:t>
            </w:r>
          </w:p>
        </w:tc>
        <w:tc>
          <w:tcPr>
            <w:tcW w:type="dxa" w:w="938"/>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986"/>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765"/>
            <w:tcBorders>
              <w:bottom w:val="single" w:sz="2" w:space="0" w:color="E5E7EB"/>
            </w:tcBorders>
            <w:shd w:val="clear" w:color="auto" w:fill="F9FAFB"/>
            <w:tcMar>
              <w:top w:w="80" w:type="dxa"/>
              <w:left w:w="120" w:type="dxa"/>
              <w:bottom w:w="80" w:type="dxa"/>
              <w:right w:w="120" w:type="dxa"/>
            </w:tcMar>
            <w:vAlign w:val="top"/>
          </w:tcPr>
          <w:p>
            <w:pPr>
              <w:spacing w:before="0" w:after="0" w:line="40" w:lineRule="exact"/>
              <w:jc w:val="center"/>
            </w:pPr>
          </w:p>
          <w:tbl>
            <w:tblPr>
              <w:tblW w:type="auto" w:w="0"/>
              <w:jc w:val="center"/>
              <w:tblLayout w:type="fixed"/>
              <w:tblLook w:firstColumn="1" w:firstRow="1" w:lastColumn="0" w:lastRow="0" w:noHBand="0" w:noVBand="1" w:val="04A0"/>
            </w:tblPr>
            <w:tblGrid>
              <w:gridCol w:w="227"/>
            </w:tblGrid>
            <w:tr>
              <w:trPr>
                <w:trHeight w:val="226" w:hRule="exact"/>
              </w:trPr>
              <w:tc>
                <w:tcPr>
                  <w:tcW w:type="dxa" w:w="227"/>
                  <w:tcBorders>
                    <w:top w:val="single" w:sz="6" w:space="0" w:color="6B7280"/>
                    <w:bottom w:val="single" w:sz="6" w:space="0" w:color="6B7280"/>
                    <w:left w:val="single" w:sz="6" w:space="0" w:color="6B7280"/>
                    <w:right w:val="single" w:sz="6" w:space="0" w:color="6B7280"/>
                  </w:tcBorders>
                  <w:tcMar>
                    <w:top w:w="0" w:type="dxa"/>
                    <w:left w:w="0" w:type="dxa"/>
                    <w:bottom w:w="0" w:type="dxa"/>
                    <w:right w:w="0" w:type="dxa"/>
                  </w:tcMar>
                </w:tcPr>
                <w:p>
                  <w:pPr>
                    <w:spacing w:before="0" w:after="0" w:line="240" w:lineRule="auto"/>
                  </w:pPr>
                  <w:r>
                    <w:rPr>
                      <w:rFonts w:ascii="Inter" w:hAnsi="Inter" w:cs="Inter" w:eastAsia="Inter"/>
                      <w:b w:val="0"/>
                      <w:i w:val="0"/>
                      <w:color w:val="35394F"/>
                      <w:sz w:val="12"/>
                    </w:rPr>
                  </w:r>
                </w:p>
              </w:tc>
            </w:tr>
          </w:tbl>
          <w:p/>
        </w:tc>
      </w:tr>
      <w:tr>
        <w:trPr>
          <w:cantSplit w:val="1"/>
        </w:trPr>
        <w:tc>
          <w:tcPr>
            <w:tcW w:type="dxa" w:w="7175"/>
            <w:tcBorders>
              <w:bottom w:val="single" w:sz="2" w:space="0" w:color="E5E7EB"/>
            </w:tcBorders>
            <w:shd w:val="clear" w:color="auto" w:fill="FFFFFF"/>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Email every department head asking them to list all AI tools their team uses (incl. free/trial tools and AI features inside existing software).</w:t>
            </w:r>
          </w:p>
        </w:tc>
        <w:tc>
          <w:tcPr>
            <w:tcW w:type="dxa" w:w="938"/>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986"/>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765"/>
            <w:tcBorders>
              <w:bottom w:val="single" w:sz="2" w:space="0" w:color="E5E7EB"/>
            </w:tcBorders>
            <w:shd w:val="clear" w:color="auto" w:fill="FFFFFF"/>
            <w:tcMar>
              <w:top w:w="80" w:type="dxa"/>
              <w:left w:w="120" w:type="dxa"/>
              <w:bottom w:w="80" w:type="dxa"/>
              <w:right w:w="120" w:type="dxa"/>
            </w:tcMar>
            <w:vAlign w:val="top"/>
          </w:tcPr>
          <w:p>
            <w:pPr>
              <w:spacing w:before="0" w:after="0" w:line="40" w:lineRule="exact"/>
              <w:jc w:val="center"/>
            </w:pPr>
          </w:p>
          <w:tbl>
            <w:tblPr>
              <w:tblW w:type="auto" w:w="0"/>
              <w:jc w:val="center"/>
              <w:tblLayout w:type="fixed"/>
              <w:tblLook w:firstColumn="1" w:firstRow="1" w:lastColumn="0" w:lastRow="0" w:noHBand="0" w:noVBand="1" w:val="04A0"/>
            </w:tblPr>
            <w:tblGrid>
              <w:gridCol w:w="227"/>
            </w:tblGrid>
            <w:tr>
              <w:trPr>
                <w:trHeight w:val="226" w:hRule="exact"/>
              </w:trPr>
              <w:tc>
                <w:tcPr>
                  <w:tcW w:type="dxa" w:w="227"/>
                  <w:tcBorders>
                    <w:top w:val="single" w:sz="6" w:space="0" w:color="6B7280"/>
                    <w:bottom w:val="single" w:sz="6" w:space="0" w:color="6B7280"/>
                    <w:left w:val="single" w:sz="6" w:space="0" w:color="6B7280"/>
                    <w:right w:val="single" w:sz="6" w:space="0" w:color="6B7280"/>
                  </w:tcBorders>
                  <w:tcMar>
                    <w:top w:w="0" w:type="dxa"/>
                    <w:left w:w="0" w:type="dxa"/>
                    <w:bottom w:w="0" w:type="dxa"/>
                    <w:right w:w="0" w:type="dxa"/>
                  </w:tcMar>
                </w:tcPr>
                <w:p>
                  <w:pPr>
                    <w:spacing w:before="0" w:after="0" w:line="240" w:lineRule="auto"/>
                  </w:pPr>
                  <w:r>
                    <w:rPr>
                      <w:rFonts w:ascii="Inter" w:hAnsi="Inter" w:cs="Inter" w:eastAsia="Inter"/>
                      <w:b w:val="0"/>
                      <w:i w:val="0"/>
                      <w:color w:val="35394F"/>
                      <w:sz w:val="12"/>
                    </w:rPr>
                  </w:r>
                </w:p>
              </w:tc>
            </w:tr>
          </w:tbl>
          <w:p/>
        </w:tc>
      </w:tr>
      <w:tr>
        <w:trPr>
          <w:cantSplit w:val="1"/>
        </w:trPr>
        <w:tc>
          <w:tcPr>
            <w:tcW w:type="dxa" w:w="7175"/>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Check AI features inside Microsoft 365, Google Workspace, your CRM, HR and finance tools.</w:t>
            </w:r>
          </w:p>
        </w:tc>
        <w:tc>
          <w:tcPr>
            <w:tcW w:type="dxa" w:w="938"/>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986"/>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765"/>
            <w:tcBorders>
              <w:bottom w:val="single" w:sz="2" w:space="0" w:color="E5E7EB"/>
            </w:tcBorders>
            <w:shd w:val="clear" w:color="auto" w:fill="F9FAFB"/>
            <w:tcMar>
              <w:top w:w="80" w:type="dxa"/>
              <w:left w:w="120" w:type="dxa"/>
              <w:bottom w:w="80" w:type="dxa"/>
              <w:right w:w="120" w:type="dxa"/>
            </w:tcMar>
            <w:vAlign w:val="top"/>
          </w:tcPr>
          <w:p>
            <w:pPr>
              <w:spacing w:before="0" w:after="0" w:line="40" w:lineRule="exact"/>
              <w:jc w:val="center"/>
            </w:pPr>
          </w:p>
          <w:tbl>
            <w:tblPr>
              <w:tblW w:type="auto" w:w="0"/>
              <w:jc w:val="center"/>
              <w:tblLayout w:type="fixed"/>
              <w:tblLook w:firstColumn="1" w:firstRow="1" w:lastColumn="0" w:lastRow="0" w:noHBand="0" w:noVBand="1" w:val="04A0"/>
            </w:tblPr>
            <w:tblGrid>
              <w:gridCol w:w="227"/>
            </w:tblGrid>
            <w:tr>
              <w:trPr>
                <w:trHeight w:val="226" w:hRule="exact"/>
              </w:trPr>
              <w:tc>
                <w:tcPr>
                  <w:tcW w:type="dxa" w:w="227"/>
                  <w:tcBorders>
                    <w:top w:val="single" w:sz="6" w:space="0" w:color="6B7280"/>
                    <w:bottom w:val="single" w:sz="6" w:space="0" w:color="6B7280"/>
                    <w:left w:val="single" w:sz="6" w:space="0" w:color="6B7280"/>
                    <w:right w:val="single" w:sz="6" w:space="0" w:color="6B7280"/>
                  </w:tcBorders>
                  <w:tcMar>
                    <w:top w:w="0" w:type="dxa"/>
                    <w:left w:w="0" w:type="dxa"/>
                    <w:bottom w:w="0" w:type="dxa"/>
                    <w:right w:w="0" w:type="dxa"/>
                  </w:tcMar>
                </w:tcPr>
                <w:p>
                  <w:pPr>
                    <w:spacing w:before="0" w:after="0" w:line="240" w:lineRule="auto"/>
                  </w:pPr>
                  <w:r>
                    <w:rPr>
                      <w:rFonts w:ascii="Inter" w:hAnsi="Inter" w:cs="Inter" w:eastAsia="Inter"/>
                      <w:b w:val="0"/>
                      <w:i w:val="0"/>
                      <w:color w:val="35394F"/>
                      <w:sz w:val="12"/>
                    </w:rPr>
                  </w:r>
                </w:p>
              </w:tc>
            </w:tr>
          </w:tbl>
          <w:p/>
        </w:tc>
      </w:tr>
      <w:tr>
        <w:trPr>
          <w:cantSplit w:val="1"/>
        </w:trPr>
        <w:tc>
          <w:tcPr>
            <w:tcW w:type="dxa" w:w="7175"/>
            <w:tcBorders>
              <w:bottom w:val="single" w:sz="2" w:space="0" w:color="E5E7EB"/>
            </w:tcBorders>
            <w:shd w:val="clear" w:color="auto" w:fill="FFFFFF"/>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Record each system in the AI System Inventory – one row per system.</w:t>
            </w:r>
          </w:p>
        </w:tc>
        <w:tc>
          <w:tcPr>
            <w:tcW w:type="dxa" w:w="938"/>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986"/>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765"/>
            <w:tcBorders>
              <w:bottom w:val="single" w:sz="2" w:space="0" w:color="E5E7EB"/>
            </w:tcBorders>
            <w:shd w:val="clear" w:color="auto" w:fill="FFFFFF"/>
            <w:tcMar>
              <w:top w:w="80" w:type="dxa"/>
              <w:left w:w="120" w:type="dxa"/>
              <w:bottom w:w="80" w:type="dxa"/>
              <w:right w:w="120" w:type="dxa"/>
            </w:tcMar>
            <w:vAlign w:val="top"/>
          </w:tcPr>
          <w:p>
            <w:pPr>
              <w:spacing w:before="0" w:after="0" w:line="40" w:lineRule="exact"/>
              <w:jc w:val="center"/>
            </w:pPr>
          </w:p>
          <w:tbl>
            <w:tblPr>
              <w:tblW w:type="auto" w:w="0"/>
              <w:jc w:val="center"/>
              <w:tblLayout w:type="fixed"/>
              <w:tblLook w:firstColumn="1" w:firstRow="1" w:lastColumn="0" w:lastRow="0" w:noHBand="0" w:noVBand="1" w:val="04A0"/>
            </w:tblPr>
            <w:tblGrid>
              <w:gridCol w:w="227"/>
            </w:tblGrid>
            <w:tr>
              <w:trPr>
                <w:trHeight w:val="226" w:hRule="exact"/>
              </w:trPr>
              <w:tc>
                <w:tcPr>
                  <w:tcW w:type="dxa" w:w="227"/>
                  <w:tcBorders>
                    <w:top w:val="single" w:sz="6" w:space="0" w:color="6B7280"/>
                    <w:bottom w:val="single" w:sz="6" w:space="0" w:color="6B7280"/>
                    <w:left w:val="single" w:sz="6" w:space="0" w:color="6B7280"/>
                    <w:right w:val="single" w:sz="6" w:space="0" w:color="6B7280"/>
                  </w:tcBorders>
                  <w:tcMar>
                    <w:top w:w="0" w:type="dxa"/>
                    <w:left w:w="0" w:type="dxa"/>
                    <w:bottom w:w="0" w:type="dxa"/>
                    <w:right w:w="0" w:type="dxa"/>
                  </w:tcMar>
                </w:tcPr>
                <w:p>
                  <w:pPr>
                    <w:spacing w:before="0" w:after="0" w:line="240" w:lineRule="auto"/>
                  </w:pPr>
                  <w:r>
                    <w:rPr>
                      <w:rFonts w:ascii="Inter" w:hAnsi="Inter" w:cs="Inter" w:eastAsia="Inter"/>
                      <w:b w:val="0"/>
                      <w:i w:val="0"/>
                      <w:color w:val="35394F"/>
                      <w:sz w:val="12"/>
                    </w:rPr>
                  </w:r>
                </w:p>
              </w:tc>
            </w:tr>
          </w:tbl>
          <w:p/>
        </w:tc>
      </w:tr>
      <w:tr>
        <w:trPr>
          <w:cantSplit w:val="1"/>
        </w:trPr>
        <w:tc>
          <w:tcPr>
            <w:tcW w:type="dxa" w:w="7175"/>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Flag every shadow-AI tool for IT review (approve, replace, or prohibit).</w:t>
            </w:r>
          </w:p>
        </w:tc>
        <w:tc>
          <w:tcPr>
            <w:tcW w:type="dxa" w:w="938"/>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986"/>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765"/>
            <w:tcBorders>
              <w:bottom w:val="single" w:sz="2" w:space="0" w:color="E5E7EB"/>
            </w:tcBorders>
            <w:shd w:val="clear" w:color="auto" w:fill="F9FAFB"/>
            <w:tcMar>
              <w:top w:w="80" w:type="dxa"/>
              <w:left w:w="120" w:type="dxa"/>
              <w:bottom w:w="80" w:type="dxa"/>
              <w:right w:w="120" w:type="dxa"/>
            </w:tcMar>
            <w:vAlign w:val="top"/>
          </w:tcPr>
          <w:p>
            <w:pPr>
              <w:spacing w:before="0" w:after="0" w:line="40" w:lineRule="exact"/>
              <w:jc w:val="center"/>
            </w:pPr>
          </w:p>
          <w:tbl>
            <w:tblPr>
              <w:tblW w:type="auto" w:w="0"/>
              <w:jc w:val="center"/>
              <w:tblLayout w:type="fixed"/>
              <w:tblLook w:firstColumn="1" w:firstRow="1" w:lastColumn="0" w:lastRow="0" w:noHBand="0" w:noVBand="1" w:val="04A0"/>
            </w:tblPr>
            <w:tblGrid>
              <w:gridCol w:w="227"/>
            </w:tblGrid>
            <w:tr>
              <w:trPr>
                <w:trHeight w:val="226" w:hRule="exact"/>
              </w:trPr>
              <w:tc>
                <w:tcPr>
                  <w:tcW w:type="dxa" w:w="227"/>
                  <w:tcBorders>
                    <w:top w:val="single" w:sz="6" w:space="0" w:color="6B7280"/>
                    <w:bottom w:val="single" w:sz="6" w:space="0" w:color="6B7280"/>
                    <w:left w:val="single" w:sz="6" w:space="0" w:color="6B7280"/>
                    <w:right w:val="single" w:sz="6" w:space="0" w:color="6B7280"/>
                  </w:tcBorders>
                  <w:tcMar>
                    <w:top w:w="0" w:type="dxa"/>
                    <w:left w:w="0" w:type="dxa"/>
                    <w:bottom w:w="0" w:type="dxa"/>
                    <w:right w:w="0" w:type="dxa"/>
                  </w:tcMar>
                </w:tcPr>
                <w:p>
                  <w:pPr>
                    <w:spacing w:before="0" w:after="0" w:line="240" w:lineRule="auto"/>
                  </w:pPr>
                  <w:r>
                    <w:rPr>
                      <w:rFonts w:ascii="Inter" w:hAnsi="Inter" w:cs="Inter" w:eastAsia="Inter"/>
                      <w:b w:val="0"/>
                      <w:i w:val="0"/>
                      <w:color w:val="35394F"/>
                      <w:sz w:val="12"/>
                    </w:rPr>
                  </w:r>
                </w:p>
              </w:tc>
            </w:tr>
          </w:tbl>
          <w:p/>
        </w:tc>
      </w:tr>
    </w:tbl>
    <w:p>
      <w:pPr>
        <w:spacing w:before="0" w:after="0" w:line="160" w:lineRule="exact"/>
      </w:pPr>
    </w:p>
    <w:p>
      <w:pPr>
        <w:keepNext w:val="1"/>
        <w:keepLines w:val="1"/>
        <w:shd w:val="clear" w:color="auto" w:fill="35394F"/>
        <w:spacing w:before="110" w:after="110" w:line="240" w:lineRule="auto"/>
        <w:ind w:left="0" w:right="0" w:firstLine="260"/>
      </w:pPr>
      <w:r>
        <w:rPr>
          <w:rFonts w:ascii="Funnel Display" w:hAnsi="Funnel Display" w:cs="Funnel Display" w:eastAsia="Funnel Display"/>
          <w:b/>
          <w:i w:val="0"/>
          <w:color w:val="FFFFFF"/>
          <w:sz w:val="23"/>
        </w:rPr>
        <w:t>PHASE 2 – Classify: determine each system's risk level</w:t>
      </w:r>
    </w:p>
    <w:p>
      <w:pPr>
        <w:keepNext w:val="1"/>
        <w:keepLines w:val="1"/>
        <w:spacing w:before="0" w:after="0" w:line="120" w:lineRule="exact"/>
      </w:pPr>
    </w:p>
    <w:p>
      <w:pPr>
        <w:keepNext w:val="1"/>
        <w:keepLines w:val="1"/>
        <w:spacing w:before="0" w:after="120" w:line="324" w:lineRule="auto"/>
        <w:ind w:left="260" w:right="260"/>
      </w:pPr>
      <w:r>
        <w:rPr>
          <w:rFonts w:ascii="Inter" w:hAnsi="Inter" w:cs="Inter" w:eastAsia="Inter"/>
          <w:b w:val="0"/>
          <w:i w:val="0"/>
          <w:color w:val="35394F"/>
          <w:sz w:val="20"/>
        </w:rPr>
        <w:t>Obligations scale with risk. Classifying correctly tells you which systems need full documentation and which need only light-touch handling.</w:t>
      </w:r>
    </w:p>
    <w:p>
      <w:pPr>
        <w:keepNext w:val="1"/>
        <w:keepLines w:val="1"/>
        <w:spacing w:before="40" w:after="160" w:line="300" w:lineRule="auto"/>
        <w:ind w:left="260" w:right="260"/>
      </w:pPr>
      <w:r>
        <w:rPr>
          <w:rFonts w:ascii="Inter" w:hAnsi="Inter" w:cs="Inter" w:eastAsia="Inter"/>
          <w:b/>
          <w:i w:val="0"/>
          <w:color w:val="E34663"/>
          <w:sz w:val="16"/>
        </w:rPr>
        <w:t>→ Use the ETHYX AI Risk Classification Checklist for each system.</w:t>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7190"/>
        <w:gridCol w:w="931"/>
        <w:gridCol w:w="979"/>
        <w:gridCol w:w="765"/>
      </w:tblGrid>
      <w:tr>
        <w:trPr>
          <w:cantSplit w:val="1"/>
          <w:tblHeader w:val="1"/>
        </w:trPr>
        <w:tc>
          <w:tcPr>
            <w:tcW w:type="dxa" w:w="7190"/>
            <w:shd w:val="clear" w:color="auto" w:fill="35394F"/>
            <w:tcMar>
              <w:top w:w="70" w:type="dxa"/>
              <w:left w:w="0" w:type="dxa"/>
              <w:bottom w:w="70" w:type="dxa"/>
              <w:right w:w="120" w:type="dxa"/>
            </w:tcMar>
            <w:vAlign w:val="center"/>
          </w:tcPr>
          <w:p>
            <w:pPr>
              <w:spacing w:before="0" w:after="0" w:line="240" w:lineRule="auto"/>
              <w:ind w:left="260" w:right="0"/>
            </w:pPr>
            <w:r>
              <w:rPr>
                <w:rFonts w:ascii="Inter" w:hAnsi="Inter" w:cs="Inter" w:eastAsia="Inter"/>
                <w:b/>
                <w:i w:val="0"/>
                <w:caps w:val="1"/>
                <w:color w:val="FFFFFF"/>
                <w:spacing w:val="8"/>
                <w:sz w:val="15"/>
              </w:rPr>
              <w:t>Action</w:t>
            </w:r>
          </w:p>
        </w:tc>
        <w:tc>
          <w:tcPr>
            <w:tcW w:type="dxa" w:w="931"/>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Owner</w:t>
            </w:r>
          </w:p>
        </w:tc>
        <w:tc>
          <w:tcPr>
            <w:tcW w:type="dxa" w:w="979"/>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Target date</w:t>
            </w:r>
          </w:p>
        </w:tc>
        <w:tc>
          <w:tcPr>
            <w:tcW w:type="dxa" w:w="765"/>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Done</w:t>
            </w:r>
          </w:p>
        </w:tc>
      </w:tr>
      <w:tr>
        <w:trPr>
          <w:cantSplit w:val="1"/>
        </w:trPr>
        <w:tc>
          <w:tcPr>
            <w:tcW w:type="dxa" w:w="7190"/>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Run each inventoried system through the AI Risk Classification Checklist (Steps 1–5).</w:t>
            </w:r>
          </w:p>
        </w:tc>
        <w:tc>
          <w:tcPr>
            <w:tcW w:type="dxa" w:w="931"/>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979"/>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765"/>
            <w:tcBorders>
              <w:bottom w:val="single" w:sz="2" w:space="0" w:color="E5E7EB"/>
            </w:tcBorders>
            <w:shd w:val="clear" w:color="auto" w:fill="F9FAFB"/>
            <w:tcMar>
              <w:top w:w="80" w:type="dxa"/>
              <w:left w:w="120" w:type="dxa"/>
              <w:bottom w:w="80" w:type="dxa"/>
              <w:right w:w="120" w:type="dxa"/>
            </w:tcMar>
            <w:vAlign w:val="top"/>
          </w:tcPr>
          <w:p>
            <w:pPr>
              <w:spacing w:before="0" w:after="0" w:line="40" w:lineRule="exact"/>
              <w:jc w:val="center"/>
            </w:pPr>
          </w:p>
          <w:tbl>
            <w:tblPr>
              <w:tblW w:type="auto" w:w="0"/>
              <w:jc w:val="center"/>
              <w:tblLayout w:type="fixed"/>
              <w:tblLook w:firstColumn="1" w:firstRow="1" w:lastColumn="0" w:lastRow="0" w:noHBand="0" w:noVBand="1" w:val="04A0"/>
            </w:tblPr>
            <w:tblGrid>
              <w:gridCol w:w="227"/>
            </w:tblGrid>
            <w:tr>
              <w:trPr>
                <w:trHeight w:val="226" w:hRule="exact"/>
              </w:trPr>
              <w:tc>
                <w:tcPr>
                  <w:tcW w:type="dxa" w:w="227"/>
                  <w:tcBorders>
                    <w:top w:val="single" w:sz="6" w:space="0" w:color="6B7280"/>
                    <w:bottom w:val="single" w:sz="6" w:space="0" w:color="6B7280"/>
                    <w:left w:val="single" w:sz="6" w:space="0" w:color="6B7280"/>
                    <w:right w:val="single" w:sz="6" w:space="0" w:color="6B7280"/>
                  </w:tcBorders>
                  <w:tcMar>
                    <w:top w:w="0" w:type="dxa"/>
                    <w:left w:w="0" w:type="dxa"/>
                    <w:bottom w:w="0" w:type="dxa"/>
                    <w:right w:w="0" w:type="dxa"/>
                  </w:tcMar>
                </w:tcPr>
                <w:p>
                  <w:pPr>
                    <w:spacing w:before="0" w:after="0" w:line="240" w:lineRule="auto"/>
                  </w:pPr>
                  <w:r>
                    <w:rPr>
                      <w:rFonts w:ascii="Inter" w:hAnsi="Inter" w:cs="Inter" w:eastAsia="Inter"/>
                      <w:b w:val="0"/>
                      <w:i w:val="0"/>
                      <w:color w:val="35394F"/>
                      <w:sz w:val="12"/>
                    </w:rPr>
                  </w:r>
                </w:p>
              </w:tc>
            </w:tr>
          </w:tbl>
          <w:p/>
        </w:tc>
      </w:tr>
      <w:tr>
        <w:trPr>
          <w:cantSplit w:val="1"/>
        </w:trPr>
        <w:tc>
          <w:tcPr>
            <w:tcW w:type="dxa" w:w="7190"/>
            <w:tcBorders>
              <w:bottom w:val="single" w:sz="2" w:space="0" w:color="E5E7EB"/>
            </w:tcBorders>
            <w:shd w:val="clear" w:color="auto" w:fill="FFFFFF"/>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Confirm no system falls under prohibited practices (Art. 5). If one does, stop using it and seek legal advice.</w:t>
            </w:r>
          </w:p>
        </w:tc>
        <w:tc>
          <w:tcPr>
            <w:tcW w:type="dxa" w:w="931"/>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979"/>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765"/>
            <w:tcBorders>
              <w:bottom w:val="single" w:sz="2" w:space="0" w:color="E5E7EB"/>
            </w:tcBorders>
            <w:shd w:val="clear" w:color="auto" w:fill="FFFFFF"/>
            <w:tcMar>
              <w:top w:w="80" w:type="dxa"/>
              <w:left w:w="120" w:type="dxa"/>
              <w:bottom w:w="80" w:type="dxa"/>
              <w:right w:w="120" w:type="dxa"/>
            </w:tcMar>
            <w:vAlign w:val="top"/>
          </w:tcPr>
          <w:p>
            <w:pPr>
              <w:spacing w:before="0" w:after="0" w:line="40" w:lineRule="exact"/>
              <w:jc w:val="center"/>
            </w:pPr>
          </w:p>
          <w:tbl>
            <w:tblPr>
              <w:tblW w:type="auto" w:w="0"/>
              <w:jc w:val="center"/>
              <w:tblLayout w:type="fixed"/>
              <w:tblLook w:firstColumn="1" w:firstRow="1" w:lastColumn="0" w:lastRow="0" w:noHBand="0" w:noVBand="1" w:val="04A0"/>
            </w:tblPr>
            <w:tblGrid>
              <w:gridCol w:w="227"/>
            </w:tblGrid>
            <w:tr>
              <w:trPr>
                <w:trHeight w:val="226" w:hRule="exact"/>
              </w:trPr>
              <w:tc>
                <w:tcPr>
                  <w:tcW w:type="dxa" w:w="227"/>
                  <w:tcBorders>
                    <w:top w:val="single" w:sz="6" w:space="0" w:color="6B7280"/>
                    <w:bottom w:val="single" w:sz="6" w:space="0" w:color="6B7280"/>
                    <w:left w:val="single" w:sz="6" w:space="0" w:color="6B7280"/>
                    <w:right w:val="single" w:sz="6" w:space="0" w:color="6B7280"/>
                  </w:tcBorders>
                  <w:tcMar>
                    <w:top w:w="0" w:type="dxa"/>
                    <w:left w:w="0" w:type="dxa"/>
                    <w:bottom w:w="0" w:type="dxa"/>
                    <w:right w:w="0" w:type="dxa"/>
                  </w:tcMar>
                </w:tcPr>
                <w:p>
                  <w:pPr>
                    <w:spacing w:before="0" w:after="0" w:line="240" w:lineRule="auto"/>
                  </w:pPr>
                  <w:r>
                    <w:rPr>
                      <w:rFonts w:ascii="Inter" w:hAnsi="Inter" w:cs="Inter" w:eastAsia="Inter"/>
                      <w:b w:val="0"/>
                      <w:i w:val="0"/>
                      <w:color w:val="35394F"/>
                      <w:sz w:val="12"/>
                    </w:rPr>
                  </w:r>
                </w:p>
              </w:tc>
            </w:tr>
          </w:tbl>
          <w:p/>
        </w:tc>
      </w:tr>
      <w:tr>
        <w:trPr>
          <w:cantSplit w:val="1"/>
        </w:trPr>
        <w:tc>
          <w:tcPr>
            <w:tcW w:type="dxa" w:w="7190"/>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Identify high-risk systems (Annex III) – e.g. AI in hiring, credit, essential services.</w:t>
            </w:r>
          </w:p>
        </w:tc>
        <w:tc>
          <w:tcPr>
            <w:tcW w:type="dxa" w:w="931"/>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979"/>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765"/>
            <w:tcBorders>
              <w:bottom w:val="single" w:sz="2" w:space="0" w:color="E5E7EB"/>
            </w:tcBorders>
            <w:shd w:val="clear" w:color="auto" w:fill="F9FAFB"/>
            <w:tcMar>
              <w:top w:w="80" w:type="dxa"/>
              <w:left w:w="120" w:type="dxa"/>
              <w:bottom w:w="80" w:type="dxa"/>
              <w:right w:w="120" w:type="dxa"/>
            </w:tcMar>
            <w:vAlign w:val="top"/>
          </w:tcPr>
          <w:p>
            <w:pPr>
              <w:spacing w:before="0" w:after="0" w:line="40" w:lineRule="exact"/>
              <w:jc w:val="center"/>
            </w:pPr>
          </w:p>
          <w:tbl>
            <w:tblPr>
              <w:tblW w:type="auto" w:w="0"/>
              <w:jc w:val="center"/>
              <w:tblLayout w:type="fixed"/>
              <w:tblLook w:firstColumn="1" w:firstRow="1" w:lastColumn="0" w:lastRow="0" w:noHBand="0" w:noVBand="1" w:val="04A0"/>
            </w:tblPr>
            <w:tblGrid>
              <w:gridCol w:w="227"/>
            </w:tblGrid>
            <w:tr>
              <w:trPr>
                <w:trHeight w:val="226" w:hRule="exact"/>
              </w:trPr>
              <w:tc>
                <w:tcPr>
                  <w:tcW w:type="dxa" w:w="227"/>
                  <w:tcBorders>
                    <w:top w:val="single" w:sz="6" w:space="0" w:color="6B7280"/>
                    <w:bottom w:val="single" w:sz="6" w:space="0" w:color="6B7280"/>
                    <w:left w:val="single" w:sz="6" w:space="0" w:color="6B7280"/>
                    <w:right w:val="single" w:sz="6" w:space="0" w:color="6B7280"/>
                  </w:tcBorders>
                  <w:tcMar>
                    <w:top w:w="0" w:type="dxa"/>
                    <w:left w:w="0" w:type="dxa"/>
                    <w:bottom w:w="0" w:type="dxa"/>
                    <w:right w:w="0" w:type="dxa"/>
                  </w:tcMar>
                </w:tcPr>
                <w:p>
                  <w:pPr>
                    <w:spacing w:before="0" w:after="0" w:line="240" w:lineRule="auto"/>
                  </w:pPr>
                  <w:r>
                    <w:rPr>
                      <w:rFonts w:ascii="Inter" w:hAnsi="Inter" w:cs="Inter" w:eastAsia="Inter"/>
                      <w:b w:val="0"/>
                      <w:i w:val="0"/>
                      <w:color w:val="35394F"/>
                      <w:sz w:val="12"/>
                    </w:rPr>
                  </w:r>
                </w:p>
              </w:tc>
            </w:tr>
          </w:tbl>
          <w:p/>
        </w:tc>
      </w:tr>
      <w:tr>
        <w:trPr>
          <w:cantSplit w:val="1"/>
        </w:trPr>
        <w:tc>
          <w:tcPr>
            <w:tcW w:type="dxa" w:w="7190"/>
            <w:tcBorders>
              <w:bottom w:val="single" w:sz="2" w:space="0" w:color="E5E7EB"/>
            </w:tcBorders>
            <w:shd w:val="clear" w:color="auto" w:fill="FFFFFF"/>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Identify limited-risk systems with Art. 50 transparency duties (chatbots, synthetic content).</w:t>
            </w:r>
          </w:p>
        </w:tc>
        <w:tc>
          <w:tcPr>
            <w:tcW w:type="dxa" w:w="931"/>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979"/>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765"/>
            <w:tcBorders>
              <w:bottom w:val="single" w:sz="2" w:space="0" w:color="E5E7EB"/>
            </w:tcBorders>
            <w:shd w:val="clear" w:color="auto" w:fill="FFFFFF"/>
            <w:tcMar>
              <w:top w:w="80" w:type="dxa"/>
              <w:left w:w="120" w:type="dxa"/>
              <w:bottom w:w="80" w:type="dxa"/>
              <w:right w:w="120" w:type="dxa"/>
            </w:tcMar>
            <w:vAlign w:val="top"/>
          </w:tcPr>
          <w:p>
            <w:pPr>
              <w:spacing w:before="0" w:after="0" w:line="40" w:lineRule="exact"/>
              <w:jc w:val="center"/>
            </w:pPr>
          </w:p>
          <w:tbl>
            <w:tblPr>
              <w:tblW w:type="auto" w:w="0"/>
              <w:jc w:val="center"/>
              <w:tblLayout w:type="fixed"/>
              <w:tblLook w:firstColumn="1" w:firstRow="1" w:lastColumn="0" w:lastRow="0" w:noHBand="0" w:noVBand="1" w:val="04A0"/>
            </w:tblPr>
            <w:tblGrid>
              <w:gridCol w:w="227"/>
            </w:tblGrid>
            <w:tr>
              <w:trPr>
                <w:trHeight w:val="226" w:hRule="exact"/>
              </w:trPr>
              <w:tc>
                <w:tcPr>
                  <w:tcW w:type="dxa" w:w="227"/>
                  <w:tcBorders>
                    <w:top w:val="single" w:sz="6" w:space="0" w:color="6B7280"/>
                    <w:bottom w:val="single" w:sz="6" w:space="0" w:color="6B7280"/>
                    <w:left w:val="single" w:sz="6" w:space="0" w:color="6B7280"/>
                    <w:right w:val="single" w:sz="6" w:space="0" w:color="6B7280"/>
                  </w:tcBorders>
                  <w:tcMar>
                    <w:top w:w="0" w:type="dxa"/>
                    <w:left w:w="0" w:type="dxa"/>
                    <w:bottom w:w="0" w:type="dxa"/>
                    <w:right w:w="0" w:type="dxa"/>
                  </w:tcMar>
                </w:tcPr>
                <w:p>
                  <w:pPr>
                    <w:spacing w:before="0" w:after="0" w:line="240" w:lineRule="auto"/>
                  </w:pPr>
                  <w:r>
                    <w:rPr>
                      <w:rFonts w:ascii="Inter" w:hAnsi="Inter" w:cs="Inter" w:eastAsia="Inter"/>
                      <w:b w:val="0"/>
                      <w:i w:val="0"/>
                      <w:color w:val="35394F"/>
                      <w:sz w:val="12"/>
                    </w:rPr>
                  </w:r>
                </w:p>
              </w:tc>
            </w:tr>
          </w:tbl>
          <w:p/>
        </w:tc>
      </w:tr>
      <w:tr>
        <w:trPr>
          <w:cantSplit w:val="1"/>
        </w:trPr>
        <w:tc>
          <w:tcPr>
            <w:tcW w:type="dxa" w:w="7190"/>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Record the risk classification of every system back in your AI System Inventory.</w:t>
            </w:r>
          </w:p>
        </w:tc>
        <w:tc>
          <w:tcPr>
            <w:tcW w:type="dxa" w:w="931"/>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979"/>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765"/>
            <w:tcBorders>
              <w:bottom w:val="single" w:sz="2" w:space="0" w:color="E5E7EB"/>
            </w:tcBorders>
            <w:shd w:val="clear" w:color="auto" w:fill="F9FAFB"/>
            <w:tcMar>
              <w:top w:w="80" w:type="dxa"/>
              <w:left w:w="120" w:type="dxa"/>
              <w:bottom w:w="80" w:type="dxa"/>
              <w:right w:w="120" w:type="dxa"/>
            </w:tcMar>
            <w:vAlign w:val="top"/>
          </w:tcPr>
          <w:p>
            <w:pPr>
              <w:spacing w:before="0" w:after="0" w:line="40" w:lineRule="exact"/>
              <w:jc w:val="center"/>
            </w:pPr>
          </w:p>
          <w:tbl>
            <w:tblPr>
              <w:tblW w:type="auto" w:w="0"/>
              <w:jc w:val="center"/>
              <w:tblLayout w:type="fixed"/>
              <w:tblLook w:firstColumn="1" w:firstRow="1" w:lastColumn="0" w:lastRow="0" w:noHBand="0" w:noVBand="1" w:val="04A0"/>
            </w:tblPr>
            <w:tblGrid>
              <w:gridCol w:w="227"/>
            </w:tblGrid>
            <w:tr>
              <w:trPr>
                <w:trHeight w:val="226" w:hRule="exact"/>
              </w:trPr>
              <w:tc>
                <w:tcPr>
                  <w:tcW w:type="dxa" w:w="227"/>
                  <w:tcBorders>
                    <w:top w:val="single" w:sz="6" w:space="0" w:color="6B7280"/>
                    <w:bottom w:val="single" w:sz="6" w:space="0" w:color="6B7280"/>
                    <w:left w:val="single" w:sz="6" w:space="0" w:color="6B7280"/>
                    <w:right w:val="single" w:sz="6" w:space="0" w:color="6B7280"/>
                  </w:tcBorders>
                  <w:tcMar>
                    <w:top w:w="0" w:type="dxa"/>
                    <w:left w:w="0" w:type="dxa"/>
                    <w:bottom w:w="0" w:type="dxa"/>
                    <w:right w:w="0" w:type="dxa"/>
                  </w:tcMar>
                </w:tcPr>
                <w:p>
                  <w:pPr>
                    <w:spacing w:before="0" w:after="0" w:line="240" w:lineRule="auto"/>
                  </w:pPr>
                  <w:r>
                    <w:rPr>
                      <w:rFonts w:ascii="Inter" w:hAnsi="Inter" w:cs="Inter" w:eastAsia="Inter"/>
                      <w:b w:val="0"/>
                      <w:i w:val="0"/>
                      <w:color w:val="35394F"/>
                      <w:sz w:val="12"/>
                    </w:rPr>
                  </w:r>
                </w:p>
              </w:tc>
            </w:tr>
          </w:tbl>
          <w:p/>
        </w:tc>
      </w:tr>
    </w:tbl>
    <w:p>
      <w:pPr>
        <w:spacing w:before="0" w:after="0" w:line="160" w:lineRule="exact"/>
      </w:pPr>
    </w:p>
    <w:p>
      <w:pPr>
        <w:keepNext w:val="1"/>
        <w:keepLines w:val="1"/>
        <w:shd w:val="clear" w:color="auto" w:fill="35394F"/>
        <w:spacing w:before="110" w:after="110" w:line="240" w:lineRule="auto"/>
        <w:ind w:left="0" w:right="0" w:firstLine="260"/>
      </w:pPr>
      <w:r>
        <w:rPr>
          <w:rFonts w:ascii="Funnel Display" w:hAnsi="Funnel Display" w:cs="Funnel Display" w:eastAsia="Funnel Display"/>
          <w:b/>
          <w:i w:val="0"/>
          <w:color w:val="FFFFFF"/>
          <w:sz w:val="23"/>
        </w:rPr>
        <w:t>PHASE 3 – Document: complete deployer documentation</w:t>
      </w:r>
    </w:p>
    <w:p>
      <w:pPr>
        <w:keepNext w:val="1"/>
        <w:keepLines w:val="1"/>
        <w:spacing w:before="0" w:after="0" w:line="120" w:lineRule="exact"/>
      </w:pPr>
    </w:p>
    <w:p>
      <w:pPr>
        <w:keepNext w:val="1"/>
        <w:keepLines w:val="1"/>
        <w:spacing w:before="0" w:after="120" w:line="324" w:lineRule="auto"/>
        <w:ind w:left="260" w:right="260"/>
      </w:pPr>
      <w:r>
        <w:rPr>
          <w:rFonts w:ascii="Inter" w:hAnsi="Inter" w:cs="Inter" w:eastAsia="Inter"/>
          <w:b w:val="0"/>
          <w:i w:val="0"/>
          <w:color w:val="35394F"/>
          <w:sz w:val="20"/>
        </w:rPr>
        <w:t>High-risk and limited-risk systems carry concrete documentation duties under Art. 26, 27 and 50. Document them while the analysis is fresh.</w:t>
      </w:r>
    </w:p>
    <w:p>
      <w:pPr>
        <w:keepNext w:val="1"/>
        <w:keepLines w:val="1"/>
        <w:spacing w:before="40" w:after="160" w:line="300" w:lineRule="auto"/>
        <w:ind w:left="260" w:right="260"/>
      </w:pPr>
      <w:r>
        <w:rPr>
          <w:rFonts w:ascii="Inter" w:hAnsi="Inter" w:cs="Inter" w:eastAsia="Inter"/>
          <w:b/>
          <w:i w:val="0"/>
          <w:color w:val="E34663"/>
          <w:sz w:val="16"/>
        </w:rPr>
        <w:t>→ Use the ETHYX Deployer Documentation Pack.</w:t>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7180"/>
        <w:gridCol w:w="936"/>
        <w:gridCol w:w="984"/>
        <w:gridCol w:w="765"/>
      </w:tblGrid>
      <w:tr>
        <w:trPr>
          <w:cantSplit w:val="1"/>
          <w:tblHeader w:val="1"/>
        </w:trPr>
        <w:tc>
          <w:tcPr>
            <w:tcW w:type="dxa" w:w="7180"/>
            <w:shd w:val="clear" w:color="auto" w:fill="35394F"/>
            <w:tcMar>
              <w:top w:w="70" w:type="dxa"/>
              <w:left w:w="0" w:type="dxa"/>
              <w:bottom w:w="70" w:type="dxa"/>
              <w:right w:w="120" w:type="dxa"/>
            </w:tcMar>
            <w:vAlign w:val="center"/>
          </w:tcPr>
          <w:p>
            <w:pPr>
              <w:spacing w:before="0" w:after="0" w:line="240" w:lineRule="auto"/>
              <w:ind w:left="260" w:right="0"/>
            </w:pPr>
            <w:r>
              <w:rPr>
                <w:rFonts w:ascii="Inter" w:hAnsi="Inter" w:cs="Inter" w:eastAsia="Inter"/>
                <w:b/>
                <w:i w:val="0"/>
                <w:caps w:val="1"/>
                <w:color w:val="FFFFFF"/>
                <w:spacing w:val="8"/>
                <w:sz w:val="15"/>
              </w:rPr>
              <w:t>Action</w:t>
            </w:r>
          </w:p>
        </w:tc>
        <w:tc>
          <w:tcPr>
            <w:tcW w:type="dxa" w:w="936"/>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Owner</w:t>
            </w:r>
          </w:p>
        </w:tc>
        <w:tc>
          <w:tcPr>
            <w:tcW w:type="dxa" w:w="984"/>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Target date</w:t>
            </w:r>
          </w:p>
        </w:tc>
        <w:tc>
          <w:tcPr>
            <w:tcW w:type="dxa" w:w="765"/>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Done</w:t>
            </w:r>
          </w:p>
        </w:tc>
      </w:tr>
      <w:tr>
        <w:trPr>
          <w:cantSplit w:val="1"/>
        </w:trPr>
        <w:tc>
          <w:tcPr>
            <w:tcW w:type="dxa" w:w="7180"/>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For each high-risk system, complete Form 2 (Art. 26 deployer obligations).</w:t>
            </w:r>
          </w:p>
        </w:tc>
        <w:tc>
          <w:tcPr>
            <w:tcW w:type="dxa" w:w="936"/>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984"/>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765"/>
            <w:tcBorders>
              <w:bottom w:val="single" w:sz="2" w:space="0" w:color="E5E7EB"/>
            </w:tcBorders>
            <w:shd w:val="clear" w:color="auto" w:fill="F9FAFB"/>
            <w:tcMar>
              <w:top w:w="80" w:type="dxa"/>
              <w:left w:w="120" w:type="dxa"/>
              <w:bottom w:w="80" w:type="dxa"/>
              <w:right w:w="120" w:type="dxa"/>
            </w:tcMar>
            <w:vAlign w:val="top"/>
          </w:tcPr>
          <w:p>
            <w:pPr>
              <w:spacing w:before="0" w:after="0" w:line="40" w:lineRule="exact"/>
              <w:jc w:val="center"/>
            </w:pPr>
          </w:p>
          <w:tbl>
            <w:tblPr>
              <w:tblW w:type="auto" w:w="0"/>
              <w:jc w:val="center"/>
              <w:tblLayout w:type="fixed"/>
              <w:tblLook w:firstColumn="1" w:firstRow="1" w:lastColumn="0" w:lastRow="0" w:noHBand="0" w:noVBand="1" w:val="04A0"/>
            </w:tblPr>
            <w:tblGrid>
              <w:gridCol w:w="227"/>
            </w:tblGrid>
            <w:tr>
              <w:trPr>
                <w:trHeight w:val="226" w:hRule="exact"/>
              </w:trPr>
              <w:tc>
                <w:tcPr>
                  <w:tcW w:type="dxa" w:w="227"/>
                  <w:tcBorders>
                    <w:top w:val="single" w:sz="6" w:space="0" w:color="6B7280"/>
                    <w:bottom w:val="single" w:sz="6" w:space="0" w:color="6B7280"/>
                    <w:left w:val="single" w:sz="6" w:space="0" w:color="6B7280"/>
                    <w:right w:val="single" w:sz="6" w:space="0" w:color="6B7280"/>
                  </w:tcBorders>
                  <w:tcMar>
                    <w:top w:w="0" w:type="dxa"/>
                    <w:left w:w="0" w:type="dxa"/>
                    <w:bottom w:w="0" w:type="dxa"/>
                    <w:right w:w="0" w:type="dxa"/>
                  </w:tcMar>
                </w:tcPr>
                <w:p>
                  <w:pPr>
                    <w:spacing w:before="0" w:after="0" w:line="240" w:lineRule="auto"/>
                  </w:pPr>
                  <w:r>
                    <w:rPr>
                      <w:rFonts w:ascii="Inter" w:hAnsi="Inter" w:cs="Inter" w:eastAsia="Inter"/>
                      <w:b w:val="0"/>
                      <w:i w:val="0"/>
                      <w:color w:val="35394F"/>
                      <w:sz w:val="12"/>
                    </w:rPr>
                  </w:r>
                </w:p>
              </w:tc>
            </w:tr>
          </w:tbl>
          <w:p/>
        </w:tc>
      </w:tr>
      <w:tr>
        <w:trPr>
          <w:cantSplit w:val="1"/>
        </w:trPr>
        <w:tc>
          <w:tcPr>
            <w:tcW w:type="dxa" w:w="7180"/>
            <w:tcBorders>
              <w:bottom w:val="single" w:sz="2" w:space="0" w:color="E5E7EB"/>
            </w:tcBorders>
            <w:shd w:val="clear" w:color="auto" w:fill="FFFFFF"/>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Where Art. 27 applies, complete a Fundamental Rights Impact Assessment (Form 3).</w:t>
            </w:r>
          </w:p>
        </w:tc>
        <w:tc>
          <w:tcPr>
            <w:tcW w:type="dxa" w:w="936"/>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984"/>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765"/>
            <w:tcBorders>
              <w:bottom w:val="single" w:sz="2" w:space="0" w:color="E5E7EB"/>
            </w:tcBorders>
            <w:shd w:val="clear" w:color="auto" w:fill="FFFFFF"/>
            <w:tcMar>
              <w:top w:w="80" w:type="dxa"/>
              <w:left w:w="120" w:type="dxa"/>
              <w:bottom w:w="80" w:type="dxa"/>
              <w:right w:w="120" w:type="dxa"/>
            </w:tcMar>
            <w:vAlign w:val="top"/>
          </w:tcPr>
          <w:p>
            <w:pPr>
              <w:spacing w:before="0" w:after="0" w:line="40" w:lineRule="exact"/>
              <w:jc w:val="center"/>
            </w:pPr>
          </w:p>
          <w:tbl>
            <w:tblPr>
              <w:tblW w:type="auto" w:w="0"/>
              <w:jc w:val="center"/>
              <w:tblLayout w:type="fixed"/>
              <w:tblLook w:firstColumn="1" w:firstRow="1" w:lastColumn="0" w:lastRow="0" w:noHBand="0" w:noVBand="1" w:val="04A0"/>
            </w:tblPr>
            <w:tblGrid>
              <w:gridCol w:w="227"/>
            </w:tblGrid>
            <w:tr>
              <w:trPr>
                <w:trHeight w:val="226" w:hRule="exact"/>
              </w:trPr>
              <w:tc>
                <w:tcPr>
                  <w:tcW w:type="dxa" w:w="227"/>
                  <w:tcBorders>
                    <w:top w:val="single" w:sz="6" w:space="0" w:color="6B7280"/>
                    <w:bottom w:val="single" w:sz="6" w:space="0" w:color="6B7280"/>
                    <w:left w:val="single" w:sz="6" w:space="0" w:color="6B7280"/>
                    <w:right w:val="single" w:sz="6" w:space="0" w:color="6B7280"/>
                  </w:tcBorders>
                  <w:tcMar>
                    <w:top w:w="0" w:type="dxa"/>
                    <w:left w:w="0" w:type="dxa"/>
                    <w:bottom w:w="0" w:type="dxa"/>
                    <w:right w:w="0" w:type="dxa"/>
                  </w:tcMar>
                </w:tcPr>
                <w:p>
                  <w:pPr>
                    <w:spacing w:before="0" w:after="0" w:line="240" w:lineRule="auto"/>
                  </w:pPr>
                  <w:r>
                    <w:rPr>
                      <w:rFonts w:ascii="Inter" w:hAnsi="Inter" w:cs="Inter" w:eastAsia="Inter"/>
                      <w:b w:val="0"/>
                      <w:i w:val="0"/>
                      <w:color w:val="35394F"/>
                      <w:sz w:val="12"/>
                    </w:rPr>
                  </w:r>
                </w:p>
              </w:tc>
            </w:tr>
          </w:tbl>
          <w:p/>
        </w:tc>
      </w:tr>
      <w:tr>
        <w:trPr>
          <w:cantSplit w:val="1"/>
        </w:trPr>
        <w:tc>
          <w:tcPr>
            <w:tcW w:type="dxa" w:w="7180"/>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For systems processing personal data, check whether a GDPR DPIA (Art. 35) is also required.</w:t>
            </w:r>
          </w:p>
        </w:tc>
        <w:tc>
          <w:tcPr>
            <w:tcW w:type="dxa" w:w="936"/>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984"/>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765"/>
            <w:tcBorders>
              <w:bottom w:val="single" w:sz="2" w:space="0" w:color="E5E7EB"/>
            </w:tcBorders>
            <w:shd w:val="clear" w:color="auto" w:fill="F9FAFB"/>
            <w:tcMar>
              <w:top w:w="80" w:type="dxa"/>
              <w:left w:w="120" w:type="dxa"/>
              <w:bottom w:w="80" w:type="dxa"/>
              <w:right w:w="120" w:type="dxa"/>
            </w:tcMar>
            <w:vAlign w:val="top"/>
          </w:tcPr>
          <w:p>
            <w:pPr>
              <w:spacing w:before="0" w:after="0" w:line="40" w:lineRule="exact"/>
              <w:jc w:val="center"/>
            </w:pPr>
          </w:p>
          <w:tbl>
            <w:tblPr>
              <w:tblW w:type="auto" w:w="0"/>
              <w:jc w:val="center"/>
              <w:tblLayout w:type="fixed"/>
              <w:tblLook w:firstColumn="1" w:firstRow="1" w:lastColumn="0" w:lastRow="0" w:noHBand="0" w:noVBand="1" w:val="04A0"/>
            </w:tblPr>
            <w:tblGrid>
              <w:gridCol w:w="227"/>
            </w:tblGrid>
            <w:tr>
              <w:trPr>
                <w:trHeight w:val="226" w:hRule="exact"/>
              </w:trPr>
              <w:tc>
                <w:tcPr>
                  <w:tcW w:type="dxa" w:w="227"/>
                  <w:tcBorders>
                    <w:top w:val="single" w:sz="6" w:space="0" w:color="6B7280"/>
                    <w:bottom w:val="single" w:sz="6" w:space="0" w:color="6B7280"/>
                    <w:left w:val="single" w:sz="6" w:space="0" w:color="6B7280"/>
                    <w:right w:val="single" w:sz="6" w:space="0" w:color="6B7280"/>
                  </w:tcBorders>
                  <w:tcMar>
                    <w:top w:w="0" w:type="dxa"/>
                    <w:left w:w="0" w:type="dxa"/>
                    <w:bottom w:w="0" w:type="dxa"/>
                    <w:right w:w="0" w:type="dxa"/>
                  </w:tcMar>
                </w:tcPr>
                <w:p>
                  <w:pPr>
                    <w:spacing w:before="0" w:after="0" w:line="240" w:lineRule="auto"/>
                  </w:pPr>
                  <w:r>
                    <w:rPr>
                      <w:rFonts w:ascii="Inter" w:hAnsi="Inter" w:cs="Inter" w:eastAsia="Inter"/>
                      <w:b w:val="0"/>
                      <w:i w:val="0"/>
                      <w:color w:val="35394F"/>
                      <w:sz w:val="12"/>
                    </w:rPr>
                  </w:r>
                </w:p>
              </w:tc>
            </w:tr>
          </w:tbl>
          <w:p/>
        </w:tc>
      </w:tr>
      <w:tr>
        <w:trPr>
          <w:cantSplit w:val="1"/>
        </w:trPr>
        <w:tc>
          <w:tcPr>
            <w:tcW w:type="dxa" w:w="7180"/>
            <w:tcBorders>
              <w:bottom w:val="single" w:sz="2" w:space="0" w:color="E5E7EB"/>
            </w:tcBorders>
            <w:shd w:val="clear" w:color="auto" w:fill="FFFFFF"/>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For each limited-risk system, implement and document Art. 50 transparency (Form 5).</w:t>
            </w:r>
          </w:p>
        </w:tc>
        <w:tc>
          <w:tcPr>
            <w:tcW w:type="dxa" w:w="936"/>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984"/>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765"/>
            <w:tcBorders>
              <w:bottom w:val="single" w:sz="2" w:space="0" w:color="E5E7EB"/>
            </w:tcBorders>
            <w:shd w:val="clear" w:color="auto" w:fill="FFFFFF"/>
            <w:tcMar>
              <w:top w:w="80" w:type="dxa"/>
              <w:left w:w="120" w:type="dxa"/>
              <w:bottom w:w="80" w:type="dxa"/>
              <w:right w:w="120" w:type="dxa"/>
            </w:tcMar>
            <w:vAlign w:val="top"/>
          </w:tcPr>
          <w:p>
            <w:pPr>
              <w:spacing w:before="0" w:after="0" w:line="40" w:lineRule="exact"/>
              <w:jc w:val="center"/>
            </w:pPr>
          </w:p>
          <w:tbl>
            <w:tblPr>
              <w:tblW w:type="auto" w:w="0"/>
              <w:jc w:val="center"/>
              <w:tblLayout w:type="fixed"/>
              <w:tblLook w:firstColumn="1" w:firstRow="1" w:lastColumn="0" w:lastRow="0" w:noHBand="0" w:noVBand="1" w:val="04A0"/>
            </w:tblPr>
            <w:tblGrid>
              <w:gridCol w:w="227"/>
            </w:tblGrid>
            <w:tr>
              <w:trPr>
                <w:trHeight w:val="226" w:hRule="exact"/>
              </w:trPr>
              <w:tc>
                <w:tcPr>
                  <w:tcW w:type="dxa" w:w="227"/>
                  <w:tcBorders>
                    <w:top w:val="single" w:sz="6" w:space="0" w:color="6B7280"/>
                    <w:bottom w:val="single" w:sz="6" w:space="0" w:color="6B7280"/>
                    <w:left w:val="single" w:sz="6" w:space="0" w:color="6B7280"/>
                    <w:right w:val="single" w:sz="6" w:space="0" w:color="6B7280"/>
                  </w:tcBorders>
                  <w:tcMar>
                    <w:top w:w="0" w:type="dxa"/>
                    <w:left w:w="0" w:type="dxa"/>
                    <w:bottom w:w="0" w:type="dxa"/>
                    <w:right w:w="0" w:type="dxa"/>
                  </w:tcMar>
                </w:tcPr>
                <w:p>
                  <w:pPr>
                    <w:spacing w:before="0" w:after="0" w:line="240" w:lineRule="auto"/>
                  </w:pPr>
                  <w:r>
                    <w:rPr>
                      <w:rFonts w:ascii="Inter" w:hAnsi="Inter" w:cs="Inter" w:eastAsia="Inter"/>
                      <w:b w:val="0"/>
                      <w:i w:val="0"/>
                      <w:color w:val="35394F"/>
                      <w:sz w:val="12"/>
                    </w:rPr>
                  </w:r>
                </w:p>
              </w:tc>
            </w:tr>
          </w:tbl>
          <w:p/>
        </w:tc>
      </w:tr>
      <w:tr>
        <w:trPr>
          <w:cantSplit w:val="1"/>
        </w:trPr>
        <w:tc>
          <w:tcPr>
            <w:tcW w:type="dxa" w:w="7180"/>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Ensure a Data Processing Agreement (Art. 28 GDPR) is in place with each third-party AI vendor.</w:t>
            </w:r>
          </w:p>
        </w:tc>
        <w:tc>
          <w:tcPr>
            <w:tcW w:type="dxa" w:w="936"/>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984"/>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765"/>
            <w:tcBorders>
              <w:bottom w:val="single" w:sz="2" w:space="0" w:color="E5E7EB"/>
            </w:tcBorders>
            <w:shd w:val="clear" w:color="auto" w:fill="F9FAFB"/>
            <w:tcMar>
              <w:top w:w="80" w:type="dxa"/>
              <w:left w:w="120" w:type="dxa"/>
              <w:bottom w:w="80" w:type="dxa"/>
              <w:right w:w="120" w:type="dxa"/>
            </w:tcMar>
            <w:vAlign w:val="top"/>
          </w:tcPr>
          <w:p>
            <w:pPr>
              <w:spacing w:before="0" w:after="0" w:line="40" w:lineRule="exact"/>
              <w:jc w:val="center"/>
            </w:pPr>
          </w:p>
          <w:tbl>
            <w:tblPr>
              <w:tblW w:type="auto" w:w="0"/>
              <w:jc w:val="center"/>
              <w:tblLayout w:type="fixed"/>
              <w:tblLook w:firstColumn="1" w:firstRow="1" w:lastColumn="0" w:lastRow="0" w:noHBand="0" w:noVBand="1" w:val="04A0"/>
            </w:tblPr>
            <w:tblGrid>
              <w:gridCol w:w="227"/>
            </w:tblGrid>
            <w:tr>
              <w:trPr>
                <w:trHeight w:val="226" w:hRule="exact"/>
              </w:trPr>
              <w:tc>
                <w:tcPr>
                  <w:tcW w:type="dxa" w:w="227"/>
                  <w:tcBorders>
                    <w:top w:val="single" w:sz="6" w:space="0" w:color="6B7280"/>
                    <w:bottom w:val="single" w:sz="6" w:space="0" w:color="6B7280"/>
                    <w:left w:val="single" w:sz="6" w:space="0" w:color="6B7280"/>
                    <w:right w:val="single" w:sz="6" w:space="0" w:color="6B7280"/>
                  </w:tcBorders>
                  <w:tcMar>
                    <w:top w:w="0" w:type="dxa"/>
                    <w:left w:w="0" w:type="dxa"/>
                    <w:bottom w:w="0" w:type="dxa"/>
                    <w:right w:w="0" w:type="dxa"/>
                  </w:tcMar>
                </w:tcPr>
                <w:p>
                  <w:pPr>
                    <w:spacing w:before="0" w:after="0" w:line="240" w:lineRule="auto"/>
                  </w:pPr>
                  <w:r>
                    <w:rPr>
                      <w:rFonts w:ascii="Inter" w:hAnsi="Inter" w:cs="Inter" w:eastAsia="Inter"/>
                      <w:b w:val="0"/>
                      <w:i w:val="0"/>
                      <w:color w:val="35394F"/>
                      <w:sz w:val="12"/>
                    </w:rPr>
                  </w:r>
                </w:p>
              </w:tc>
            </w:tr>
          </w:tbl>
          <w:p/>
        </w:tc>
      </w:tr>
    </w:tbl>
    <w:p>
      <w:pPr>
        <w:spacing w:before="0" w:after="0" w:line="160" w:lineRule="exact"/>
      </w:pPr>
    </w:p>
    <w:p>
      <w:pPr>
        <w:keepNext w:val="1"/>
        <w:keepLines w:val="1"/>
        <w:shd w:val="clear" w:color="auto" w:fill="35394F"/>
        <w:spacing w:before="110" w:after="110" w:line="240" w:lineRule="auto"/>
        <w:ind w:left="0" w:right="0" w:firstLine="260"/>
      </w:pPr>
      <w:r>
        <w:rPr>
          <w:rFonts w:ascii="Funnel Display" w:hAnsi="Funnel Display" w:cs="Funnel Display" w:eastAsia="Funnel Display"/>
          <w:b/>
          <w:i w:val="0"/>
          <w:color w:val="FFFFFF"/>
          <w:sz w:val="23"/>
        </w:rPr>
        <w:t>PHASE 4 – Train &amp; govern: people and policy</w:t>
      </w:r>
    </w:p>
    <w:p>
      <w:pPr>
        <w:keepNext w:val="1"/>
        <w:keepLines w:val="1"/>
        <w:spacing w:before="0" w:after="0" w:line="120" w:lineRule="exact"/>
      </w:pPr>
    </w:p>
    <w:p>
      <w:pPr>
        <w:keepNext w:val="1"/>
        <w:keepLines w:val="1"/>
        <w:spacing w:before="0" w:after="120" w:line="324" w:lineRule="auto"/>
        <w:ind w:left="260" w:right="260"/>
      </w:pPr>
      <w:r>
        <w:rPr>
          <w:rFonts w:ascii="Inter" w:hAnsi="Inter" w:cs="Inter" w:eastAsia="Inter"/>
          <w:b w:val="0"/>
          <w:i w:val="0"/>
          <w:color w:val="35394F"/>
          <w:sz w:val="20"/>
        </w:rPr>
        <w:t>Art. 4 requires sufficient AI literacy among staff. Combine training with a clear acceptable-use policy so shadow-AI does not return.</w:t>
      </w:r>
    </w:p>
    <w:p>
      <w:pPr>
        <w:keepNext w:val="1"/>
        <w:keepLines w:val="1"/>
        <w:spacing w:before="40" w:after="160" w:line="300" w:lineRule="auto"/>
        <w:ind w:left="260" w:right="260"/>
      </w:pPr>
      <w:r>
        <w:rPr>
          <w:rFonts w:ascii="Inter" w:hAnsi="Inter" w:cs="Inter" w:eastAsia="Inter"/>
          <w:b/>
          <w:i w:val="0"/>
          <w:color w:val="E34663"/>
          <w:sz w:val="16"/>
        </w:rPr>
        <w:t>→ Use the ETHYX AI Literacy Training Template.</w:t>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7187"/>
        <w:gridCol w:w="932"/>
        <w:gridCol w:w="980"/>
        <w:gridCol w:w="765"/>
      </w:tblGrid>
      <w:tr>
        <w:trPr>
          <w:cantSplit w:val="1"/>
          <w:tblHeader w:val="1"/>
        </w:trPr>
        <w:tc>
          <w:tcPr>
            <w:tcW w:type="dxa" w:w="7187"/>
            <w:shd w:val="clear" w:color="auto" w:fill="35394F"/>
            <w:tcMar>
              <w:top w:w="70" w:type="dxa"/>
              <w:left w:w="0" w:type="dxa"/>
              <w:bottom w:w="70" w:type="dxa"/>
              <w:right w:w="120" w:type="dxa"/>
            </w:tcMar>
            <w:vAlign w:val="center"/>
          </w:tcPr>
          <w:p>
            <w:pPr>
              <w:spacing w:before="0" w:after="0" w:line="240" w:lineRule="auto"/>
              <w:ind w:left="260" w:right="0"/>
            </w:pPr>
            <w:r>
              <w:rPr>
                <w:rFonts w:ascii="Inter" w:hAnsi="Inter" w:cs="Inter" w:eastAsia="Inter"/>
                <w:b/>
                <w:i w:val="0"/>
                <w:caps w:val="1"/>
                <w:color w:val="FFFFFF"/>
                <w:spacing w:val="8"/>
                <w:sz w:val="15"/>
              </w:rPr>
              <w:t>Action</w:t>
            </w:r>
          </w:p>
        </w:tc>
        <w:tc>
          <w:tcPr>
            <w:tcW w:type="dxa" w:w="932"/>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Owner</w:t>
            </w:r>
          </w:p>
        </w:tc>
        <w:tc>
          <w:tcPr>
            <w:tcW w:type="dxa" w:w="980"/>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Target date</w:t>
            </w:r>
          </w:p>
        </w:tc>
        <w:tc>
          <w:tcPr>
            <w:tcW w:type="dxa" w:w="765"/>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Done</w:t>
            </w:r>
          </w:p>
        </w:tc>
      </w:tr>
      <w:tr>
        <w:trPr>
          <w:cantSplit w:val="1"/>
        </w:trPr>
        <w:tc>
          <w:tcPr>
            <w:tcW w:type="dxa" w:w="7187"/>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Deliver AI literacy training to all staff (Tier 1) and deeper training to AI users/overseers (Tiers 2–3).</w:t>
            </w:r>
          </w:p>
        </w:tc>
        <w:tc>
          <w:tcPr>
            <w:tcW w:type="dxa" w:w="932"/>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980"/>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765"/>
            <w:tcBorders>
              <w:bottom w:val="single" w:sz="2" w:space="0" w:color="E5E7EB"/>
            </w:tcBorders>
            <w:shd w:val="clear" w:color="auto" w:fill="F9FAFB"/>
            <w:tcMar>
              <w:top w:w="80" w:type="dxa"/>
              <w:left w:w="120" w:type="dxa"/>
              <w:bottom w:w="80" w:type="dxa"/>
              <w:right w:w="120" w:type="dxa"/>
            </w:tcMar>
            <w:vAlign w:val="top"/>
          </w:tcPr>
          <w:p>
            <w:pPr>
              <w:spacing w:before="0" w:after="0" w:line="40" w:lineRule="exact"/>
              <w:jc w:val="center"/>
            </w:pPr>
          </w:p>
          <w:tbl>
            <w:tblPr>
              <w:tblW w:type="auto" w:w="0"/>
              <w:jc w:val="center"/>
              <w:tblLayout w:type="fixed"/>
              <w:tblLook w:firstColumn="1" w:firstRow="1" w:lastColumn="0" w:lastRow="0" w:noHBand="0" w:noVBand="1" w:val="04A0"/>
            </w:tblPr>
            <w:tblGrid>
              <w:gridCol w:w="227"/>
            </w:tblGrid>
            <w:tr>
              <w:trPr>
                <w:trHeight w:val="226" w:hRule="exact"/>
              </w:trPr>
              <w:tc>
                <w:tcPr>
                  <w:tcW w:type="dxa" w:w="227"/>
                  <w:tcBorders>
                    <w:top w:val="single" w:sz="6" w:space="0" w:color="6B7280"/>
                    <w:bottom w:val="single" w:sz="6" w:space="0" w:color="6B7280"/>
                    <w:left w:val="single" w:sz="6" w:space="0" w:color="6B7280"/>
                    <w:right w:val="single" w:sz="6" w:space="0" w:color="6B7280"/>
                  </w:tcBorders>
                  <w:tcMar>
                    <w:top w:w="0" w:type="dxa"/>
                    <w:left w:w="0" w:type="dxa"/>
                    <w:bottom w:w="0" w:type="dxa"/>
                    <w:right w:w="0" w:type="dxa"/>
                  </w:tcMar>
                </w:tcPr>
                <w:p>
                  <w:pPr>
                    <w:spacing w:before="0" w:after="0" w:line="240" w:lineRule="auto"/>
                  </w:pPr>
                  <w:r>
                    <w:rPr>
                      <w:rFonts w:ascii="Inter" w:hAnsi="Inter" w:cs="Inter" w:eastAsia="Inter"/>
                      <w:b w:val="0"/>
                      <w:i w:val="0"/>
                      <w:color w:val="35394F"/>
                      <w:sz w:val="12"/>
                    </w:rPr>
                  </w:r>
                </w:p>
              </w:tc>
            </w:tr>
          </w:tbl>
          <w:p/>
        </w:tc>
      </w:tr>
      <w:tr>
        <w:trPr>
          <w:cantSplit w:val="1"/>
        </w:trPr>
        <w:tc>
          <w:tcPr>
            <w:tcW w:type="dxa" w:w="7187"/>
            <w:tcBorders>
              <w:bottom w:val="single" w:sz="2" w:space="0" w:color="E5E7EB"/>
            </w:tcBorders>
            <w:shd w:val="clear" w:color="auto" w:fill="FFFFFF"/>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Record completion (Art. 4 evidence) – names, dates, topics.</w:t>
            </w:r>
          </w:p>
        </w:tc>
        <w:tc>
          <w:tcPr>
            <w:tcW w:type="dxa" w:w="932"/>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980"/>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765"/>
            <w:tcBorders>
              <w:bottom w:val="single" w:sz="2" w:space="0" w:color="E5E7EB"/>
            </w:tcBorders>
            <w:shd w:val="clear" w:color="auto" w:fill="FFFFFF"/>
            <w:tcMar>
              <w:top w:w="80" w:type="dxa"/>
              <w:left w:w="120" w:type="dxa"/>
              <w:bottom w:w="80" w:type="dxa"/>
              <w:right w:w="120" w:type="dxa"/>
            </w:tcMar>
            <w:vAlign w:val="top"/>
          </w:tcPr>
          <w:p>
            <w:pPr>
              <w:spacing w:before="0" w:after="0" w:line="40" w:lineRule="exact"/>
              <w:jc w:val="center"/>
            </w:pPr>
          </w:p>
          <w:tbl>
            <w:tblPr>
              <w:tblW w:type="auto" w:w="0"/>
              <w:jc w:val="center"/>
              <w:tblLayout w:type="fixed"/>
              <w:tblLook w:firstColumn="1" w:firstRow="1" w:lastColumn="0" w:lastRow="0" w:noHBand="0" w:noVBand="1" w:val="04A0"/>
            </w:tblPr>
            <w:tblGrid>
              <w:gridCol w:w="227"/>
            </w:tblGrid>
            <w:tr>
              <w:trPr>
                <w:trHeight w:val="226" w:hRule="exact"/>
              </w:trPr>
              <w:tc>
                <w:tcPr>
                  <w:tcW w:type="dxa" w:w="227"/>
                  <w:tcBorders>
                    <w:top w:val="single" w:sz="6" w:space="0" w:color="6B7280"/>
                    <w:bottom w:val="single" w:sz="6" w:space="0" w:color="6B7280"/>
                    <w:left w:val="single" w:sz="6" w:space="0" w:color="6B7280"/>
                    <w:right w:val="single" w:sz="6" w:space="0" w:color="6B7280"/>
                  </w:tcBorders>
                  <w:tcMar>
                    <w:top w:w="0" w:type="dxa"/>
                    <w:left w:w="0" w:type="dxa"/>
                    <w:bottom w:w="0" w:type="dxa"/>
                    <w:right w:w="0" w:type="dxa"/>
                  </w:tcMar>
                </w:tcPr>
                <w:p>
                  <w:pPr>
                    <w:spacing w:before="0" w:after="0" w:line="240" w:lineRule="auto"/>
                  </w:pPr>
                  <w:r>
                    <w:rPr>
                      <w:rFonts w:ascii="Inter" w:hAnsi="Inter" w:cs="Inter" w:eastAsia="Inter"/>
                      <w:b w:val="0"/>
                      <w:i w:val="0"/>
                      <w:color w:val="35394F"/>
                      <w:sz w:val="12"/>
                    </w:rPr>
                  </w:r>
                </w:p>
              </w:tc>
            </w:tr>
          </w:tbl>
          <w:p/>
        </w:tc>
      </w:tr>
      <w:tr>
        <w:trPr>
          <w:cantSplit w:val="1"/>
        </w:trPr>
        <w:tc>
          <w:tcPr>
            <w:tcW w:type="dxa" w:w="7187"/>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Publish an AI Acceptable Use Policy: approved tools, prohibited uses, data rules, approval process.</w:t>
            </w:r>
          </w:p>
        </w:tc>
        <w:tc>
          <w:tcPr>
            <w:tcW w:type="dxa" w:w="932"/>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980"/>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765"/>
            <w:tcBorders>
              <w:bottom w:val="single" w:sz="2" w:space="0" w:color="E5E7EB"/>
            </w:tcBorders>
            <w:shd w:val="clear" w:color="auto" w:fill="F9FAFB"/>
            <w:tcMar>
              <w:top w:w="80" w:type="dxa"/>
              <w:left w:w="120" w:type="dxa"/>
              <w:bottom w:w="80" w:type="dxa"/>
              <w:right w:w="120" w:type="dxa"/>
            </w:tcMar>
            <w:vAlign w:val="top"/>
          </w:tcPr>
          <w:p>
            <w:pPr>
              <w:spacing w:before="0" w:after="0" w:line="40" w:lineRule="exact"/>
              <w:jc w:val="center"/>
            </w:pPr>
          </w:p>
          <w:tbl>
            <w:tblPr>
              <w:tblW w:type="auto" w:w="0"/>
              <w:jc w:val="center"/>
              <w:tblLayout w:type="fixed"/>
              <w:tblLook w:firstColumn="1" w:firstRow="1" w:lastColumn="0" w:lastRow="0" w:noHBand="0" w:noVBand="1" w:val="04A0"/>
            </w:tblPr>
            <w:tblGrid>
              <w:gridCol w:w="227"/>
            </w:tblGrid>
            <w:tr>
              <w:trPr>
                <w:trHeight w:val="226" w:hRule="exact"/>
              </w:trPr>
              <w:tc>
                <w:tcPr>
                  <w:tcW w:type="dxa" w:w="227"/>
                  <w:tcBorders>
                    <w:top w:val="single" w:sz="6" w:space="0" w:color="6B7280"/>
                    <w:bottom w:val="single" w:sz="6" w:space="0" w:color="6B7280"/>
                    <w:left w:val="single" w:sz="6" w:space="0" w:color="6B7280"/>
                    <w:right w:val="single" w:sz="6" w:space="0" w:color="6B7280"/>
                  </w:tcBorders>
                  <w:tcMar>
                    <w:top w:w="0" w:type="dxa"/>
                    <w:left w:w="0" w:type="dxa"/>
                    <w:bottom w:w="0" w:type="dxa"/>
                    <w:right w:w="0" w:type="dxa"/>
                  </w:tcMar>
                </w:tcPr>
                <w:p>
                  <w:pPr>
                    <w:spacing w:before="0" w:after="0" w:line="240" w:lineRule="auto"/>
                  </w:pPr>
                  <w:r>
                    <w:rPr>
                      <w:rFonts w:ascii="Inter" w:hAnsi="Inter" w:cs="Inter" w:eastAsia="Inter"/>
                      <w:b w:val="0"/>
                      <w:i w:val="0"/>
                      <w:color w:val="35394F"/>
                      <w:sz w:val="12"/>
                    </w:rPr>
                  </w:r>
                </w:p>
              </w:tc>
            </w:tr>
          </w:tbl>
          <w:p/>
        </w:tc>
      </w:tr>
      <w:tr>
        <w:trPr>
          <w:cantSplit w:val="1"/>
        </w:trPr>
        <w:tc>
          <w:tcPr>
            <w:tcW w:type="dxa" w:w="7187"/>
            <w:tcBorders>
              <w:bottom w:val="single" w:sz="2" w:space="0" w:color="E5E7EB"/>
            </w:tcBorders>
            <w:shd w:val="clear" w:color="auto" w:fill="FFFFFF"/>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Set up an approval route for new AI tools so future adoption is logged, not shadow.</w:t>
            </w:r>
          </w:p>
        </w:tc>
        <w:tc>
          <w:tcPr>
            <w:tcW w:type="dxa" w:w="932"/>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980"/>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765"/>
            <w:tcBorders>
              <w:bottom w:val="single" w:sz="2" w:space="0" w:color="E5E7EB"/>
            </w:tcBorders>
            <w:shd w:val="clear" w:color="auto" w:fill="FFFFFF"/>
            <w:tcMar>
              <w:top w:w="80" w:type="dxa"/>
              <w:left w:w="120" w:type="dxa"/>
              <w:bottom w:w="80" w:type="dxa"/>
              <w:right w:w="120" w:type="dxa"/>
            </w:tcMar>
            <w:vAlign w:val="top"/>
          </w:tcPr>
          <w:p>
            <w:pPr>
              <w:spacing w:before="0" w:after="0" w:line="40" w:lineRule="exact"/>
              <w:jc w:val="center"/>
            </w:pPr>
          </w:p>
          <w:tbl>
            <w:tblPr>
              <w:tblW w:type="auto" w:w="0"/>
              <w:jc w:val="center"/>
              <w:tblLayout w:type="fixed"/>
              <w:tblLook w:firstColumn="1" w:firstRow="1" w:lastColumn="0" w:lastRow="0" w:noHBand="0" w:noVBand="1" w:val="04A0"/>
            </w:tblPr>
            <w:tblGrid>
              <w:gridCol w:w="227"/>
            </w:tblGrid>
            <w:tr>
              <w:trPr>
                <w:trHeight w:val="226" w:hRule="exact"/>
              </w:trPr>
              <w:tc>
                <w:tcPr>
                  <w:tcW w:type="dxa" w:w="227"/>
                  <w:tcBorders>
                    <w:top w:val="single" w:sz="6" w:space="0" w:color="6B7280"/>
                    <w:bottom w:val="single" w:sz="6" w:space="0" w:color="6B7280"/>
                    <w:left w:val="single" w:sz="6" w:space="0" w:color="6B7280"/>
                    <w:right w:val="single" w:sz="6" w:space="0" w:color="6B7280"/>
                  </w:tcBorders>
                  <w:tcMar>
                    <w:top w:w="0" w:type="dxa"/>
                    <w:left w:w="0" w:type="dxa"/>
                    <w:bottom w:w="0" w:type="dxa"/>
                    <w:right w:w="0" w:type="dxa"/>
                  </w:tcMar>
                </w:tcPr>
                <w:p>
                  <w:pPr>
                    <w:spacing w:before="0" w:after="0" w:line="240" w:lineRule="auto"/>
                  </w:pPr>
                  <w:r>
                    <w:rPr>
                      <w:rFonts w:ascii="Inter" w:hAnsi="Inter" w:cs="Inter" w:eastAsia="Inter"/>
                      <w:b w:val="0"/>
                      <w:i w:val="0"/>
                      <w:color w:val="35394F"/>
                      <w:sz w:val="12"/>
                    </w:rPr>
                  </w:r>
                </w:p>
              </w:tc>
            </w:tr>
          </w:tbl>
          <w:p/>
        </w:tc>
      </w:tr>
      <w:tr>
        <w:trPr>
          <w:cantSplit w:val="1"/>
        </w:trPr>
        <w:tc>
          <w:tcPr>
            <w:tcW w:type="dxa" w:w="7187"/>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Assign clear ownership: who signs off new AI tools, who oversees high-risk systems.</w:t>
            </w:r>
          </w:p>
        </w:tc>
        <w:tc>
          <w:tcPr>
            <w:tcW w:type="dxa" w:w="932"/>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980"/>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765"/>
            <w:tcBorders>
              <w:bottom w:val="single" w:sz="2" w:space="0" w:color="E5E7EB"/>
            </w:tcBorders>
            <w:shd w:val="clear" w:color="auto" w:fill="F9FAFB"/>
            <w:tcMar>
              <w:top w:w="80" w:type="dxa"/>
              <w:left w:w="120" w:type="dxa"/>
              <w:bottom w:w="80" w:type="dxa"/>
              <w:right w:w="120" w:type="dxa"/>
            </w:tcMar>
            <w:vAlign w:val="top"/>
          </w:tcPr>
          <w:p>
            <w:pPr>
              <w:spacing w:before="0" w:after="0" w:line="40" w:lineRule="exact"/>
              <w:jc w:val="center"/>
            </w:pPr>
          </w:p>
          <w:tbl>
            <w:tblPr>
              <w:tblW w:type="auto" w:w="0"/>
              <w:jc w:val="center"/>
              <w:tblLayout w:type="fixed"/>
              <w:tblLook w:firstColumn="1" w:firstRow="1" w:lastColumn="0" w:lastRow="0" w:noHBand="0" w:noVBand="1" w:val="04A0"/>
            </w:tblPr>
            <w:tblGrid>
              <w:gridCol w:w="227"/>
            </w:tblGrid>
            <w:tr>
              <w:trPr>
                <w:trHeight w:val="226" w:hRule="exact"/>
              </w:trPr>
              <w:tc>
                <w:tcPr>
                  <w:tcW w:type="dxa" w:w="227"/>
                  <w:tcBorders>
                    <w:top w:val="single" w:sz="6" w:space="0" w:color="6B7280"/>
                    <w:bottom w:val="single" w:sz="6" w:space="0" w:color="6B7280"/>
                    <w:left w:val="single" w:sz="6" w:space="0" w:color="6B7280"/>
                    <w:right w:val="single" w:sz="6" w:space="0" w:color="6B7280"/>
                  </w:tcBorders>
                  <w:tcMar>
                    <w:top w:w="0" w:type="dxa"/>
                    <w:left w:w="0" w:type="dxa"/>
                    <w:bottom w:w="0" w:type="dxa"/>
                    <w:right w:w="0" w:type="dxa"/>
                  </w:tcMar>
                </w:tcPr>
                <w:p>
                  <w:pPr>
                    <w:spacing w:before="0" w:after="0" w:line="240" w:lineRule="auto"/>
                  </w:pPr>
                  <w:r>
                    <w:rPr>
                      <w:rFonts w:ascii="Inter" w:hAnsi="Inter" w:cs="Inter" w:eastAsia="Inter"/>
                      <w:b w:val="0"/>
                      <w:i w:val="0"/>
                      <w:color w:val="35394F"/>
                      <w:sz w:val="12"/>
                    </w:rPr>
                  </w:r>
                </w:p>
              </w:tc>
            </w:tr>
          </w:tbl>
          <w:p/>
        </w:tc>
      </w:tr>
    </w:tbl>
    <w:p>
      <w:pPr>
        <w:spacing w:before="0" w:after="0" w:line="160" w:lineRule="exact"/>
      </w:pPr>
    </w:p>
    <w:p>
      <w:pPr>
        <w:keepNext w:val="1"/>
        <w:keepLines w:val="1"/>
        <w:shd w:val="clear" w:color="auto" w:fill="35394F"/>
        <w:spacing w:before="110" w:after="110" w:line="240" w:lineRule="auto"/>
        <w:ind w:left="0" w:right="0" w:firstLine="260"/>
      </w:pPr>
      <w:r>
        <w:rPr>
          <w:rFonts w:ascii="Funnel Display" w:hAnsi="Funnel Display" w:cs="Funnel Display" w:eastAsia="Funnel Display"/>
          <w:b/>
          <w:i w:val="0"/>
          <w:color w:val="FFFFFF"/>
          <w:sz w:val="23"/>
        </w:rPr>
        <w:t>PHASE 5 – Monitor &amp; maintain: keep readiness current</w:t>
      </w:r>
    </w:p>
    <w:p>
      <w:pPr>
        <w:keepNext w:val="1"/>
        <w:keepLines w:val="1"/>
        <w:spacing w:before="0" w:after="0" w:line="120" w:lineRule="exact"/>
      </w:pPr>
    </w:p>
    <w:p>
      <w:pPr>
        <w:keepNext w:val="1"/>
        <w:keepLines w:val="1"/>
        <w:spacing w:before="0" w:after="120" w:line="324" w:lineRule="auto"/>
        <w:ind w:left="260" w:right="260"/>
      </w:pPr>
      <w:r>
        <w:rPr>
          <w:rFonts w:ascii="Inter" w:hAnsi="Inter" w:cs="Inter" w:eastAsia="Inter"/>
          <w:b w:val="0"/>
          <w:i w:val="0"/>
          <w:color w:val="35394F"/>
          <w:sz w:val="20"/>
        </w:rPr>
        <w:t>Readiness is not a one-off. Systems change, vendors update models, and obligations phase in over time. Build a light recurring review.</w:t>
      </w:r>
    </w:p>
    <w:p>
      <w:pPr>
        <w:keepNext w:val="1"/>
        <w:keepLines w:val="1"/>
        <w:spacing w:before="40" w:after="160" w:line="300" w:lineRule="auto"/>
        <w:ind w:left="260" w:right="260"/>
      </w:pPr>
      <w:r>
        <w:rPr>
          <w:rFonts w:ascii="Inter" w:hAnsi="Inter" w:cs="Inter" w:eastAsia="Inter"/>
          <w:b/>
          <w:i w:val="0"/>
          <w:color w:val="E34663"/>
          <w:sz w:val="16"/>
        </w:rPr>
        <w:t>→ Use the Deployer Documentation Pack post-market monitoring log (Form 4).</w:t>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7172"/>
        <w:gridCol w:w="940"/>
        <w:gridCol w:w="987"/>
        <w:gridCol w:w="765"/>
      </w:tblGrid>
      <w:tr>
        <w:trPr>
          <w:cantSplit w:val="1"/>
          <w:tblHeader w:val="1"/>
        </w:trPr>
        <w:tc>
          <w:tcPr>
            <w:tcW w:type="dxa" w:w="7172"/>
            <w:shd w:val="clear" w:color="auto" w:fill="35394F"/>
            <w:tcMar>
              <w:top w:w="70" w:type="dxa"/>
              <w:left w:w="0" w:type="dxa"/>
              <w:bottom w:w="70" w:type="dxa"/>
              <w:right w:w="120" w:type="dxa"/>
            </w:tcMar>
            <w:vAlign w:val="center"/>
          </w:tcPr>
          <w:p>
            <w:pPr>
              <w:spacing w:before="0" w:after="0" w:line="240" w:lineRule="auto"/>
              <w:ind w:left="260" w:right="0"/>
            </w:pPr>
            <w:r>
              <w:rPr>
                <w:rFonts w:ascii="Inter" w:hAnsi="Inter" w:cs="Inter" w:eastAsia="Inter"/>
                <w:b/>
                <w:i w:val="0"/>
                <w:caps w:val="1"/>
                <w:color w:val="FFFFFF"/>
                <w:spacing w:val="8"/>
                <w:sz w:val="15"/>
              </w:rPr>
              <w:t>Action</w:t>
            </w:r>
          </w:p>
        </w:tc>
        <w:tc>
          <w:tcPr>
            <w:tcW w:type="dxa" w:w="940"/>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Owner</w:t>
            </w:r>
          </w:p>
        </w:tc>
        <w:tc>
          <w:tcPr>
            <w:tcW w:type="dxa" w:w="987"/>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Target date</w:t>
            </w:r>
          </w:p>
        </w:tc>
        <w:tc>
          <w:tcPr>
            <w:tcW w:type="dxa" w:w="765"/>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Done</w:t>
            </w:r>
          </w:p>
        </w:tc>
      </w:tr>
      <w:tr>
        <w:trPr>
          <w:cantSplit w:val="1"/>
        </w:trPr>
        <w:tc>
          <w:tcPr>
            <w:tcW w:type="dxa" w:w="7172"/>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Review high-risk systems at least quarterly; keep operation logs where the system provides them.</w:t>
            </w:r>
          </w:p>
        </w:tc>
        <w:tc>
          <w:tcPr>
            <w:tcW w:type="dxa" w:w="940"/>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987"/>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765"/>
            <w:tcBorders>
              <w:bottom w:val="single" w:sz="2" w:space="0" w:color="E5E7EB"/>
            </w:tcBorders>
            <w:shd w:val="clear" w:color="auto" w:fill="F9FAFB"/>
            <w:tcMar>
              <w:top w:w="80" w:type="dxa"/>
              <w:left w:w="120" w:type="dxa"/>
              <w:bottom w:w="80" w:type="dxa"/>
              <w:right w:w="120" w:type="dxa"/>
            </w:tcMar>
            <w:vAlign w:val="top"/>
          </w:tcPr>
          <w:p>
            <w:pPr>
              <w:spacing w:before="0" w:after="0" w:line="40" w:lineRule="exact"/>
              <w:jc w:val="center"/>
            </w:pPr>
          </w:p>
          <w:tbl>
            <w:tblPr>
              <w:tblW w:type="auto" w:w="0"/>
              <w:jc w:val="center"/>
              <w:tblLayout w:type="fixed"/>
              <w:tblLook w:firstColumn="1" w:firstRow="1" w:lastColumn="0" w:lastRow="0" w:noHBand="0" w:noVBand="1" w:val="04A0"/>
            </w:tblPr>
            <w:tblGrid>
              <w:gridCol w:w="227"/>
            </w:tblGrid>
            <w:tr>
              <w:trPr>
                <w:trHeight w:val="226" w:hRule="exact"/>
              </w:trPr>
              <w:tc>
                <w:tcPr>
                  <w:tcW w:type="dxa" w:w="227"/>
                  <w:tcBorders>
                    <w:top w:val="single" w:sz="6" w:space="0" w:color="6B7280"/>
                    <w:bottom w:val="single" w:sz="6" w:space="0" w:color="6B7280"/>
                    <w:left w:val="single" w:sz="6" w:space="0" w:color="6B7280"/>
                    <w:right w:val="single" w:sz="6" w:space="0" w:color="6B7280"/>
                  </w:tcBorders>
                  <w:tcMar>
                    <w:top w:w="0" w:type="dxa"/>
                    <w:left w:w="0" w:type="dxa"/>
                    <w:bottom w:w="0" w:type="dxa"/>
                    <w:right w:w="0" w:type="dxa"/>
                  </w:tcMar>
                </w:tcPr>
                <w:p>
                  <w:pPr>
                    <w:spacing w:before="0" w:after="0" w:line="240" w:lineRule="auto"/>
                  </w:pPr>
                  <w:r>
                    <w:rPr>
                      <w:rFonts w:ascii="Inter" w:hAnsi="Inter" w:cs="Inter" w:eastAsia="Inter"/>
                      <w:b w:val="0"/>
                      <w:i w:val="0"/>
                      <w:color w:val="35394F"/>
                      <w:sz w:val="12"/>
                    </w:rPr>
                  </w:r>
                </w:p>
              </w:tc>
            </w:tr>
          </w:tbl>
          <w:p/>
        </w:tc>
      </w:tr>
      <w:tr>
        <w:trPr>
          <w:cantSplit w:val="1"/>
        </w:trPr>
        <w:tc>
          <w:tcPr>
            <w:tcW w:type="dxa" w:w="7172"/>
            <w:tcBorders>
              <w:bottom w:val="single" w:sz="2" w:space="0" w:color="E5E7EB"/>
            </w:tcBorders>
            <w:shd w:val="clear" w:color="auto" w:fill="FFFFFF"/>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Review the full AI System Inventory at least annually and after any material change.</w:t>
            </w:r>
          </w:p>
        </w:tc>
        <w:tc>
          <w:tcPr>
            <w:tcW w:type="dxa" w:w="940"/>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987"/>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765"/>
            <w:tcBorders>
              <w:bottom w:val="single" w:sz="2" w:space="0" w:color="E5E7EB"/>
            </w:tcBorders>
            <w:shd w:val="clear" w:color="auto" w:fill="FFFFFF"/>
            <w:tcMar>
              <w:top w:w="80" w:type="dxa"/>
              <w:left w:w="120" w:type="dxa"/>
              <w:bottom w:w="80" w:type="dxa"/>
              <w:right w:w="120" w:type="dxa"/>
            </w:tcMar>
            <w:vAlign w:val="top"/>
          </w:tcPr>
          <w:p>
            <w:pPr>
              <w:spacing w:before="0" w:after="0" w:line="40" w:lineRule="exact"/>
              <w:jc w:val="center"/>
            </w:pPr>
          </w:p>
          <w:tbl>
            <w:tblPr>
              <w:tblW w:type="auto" w:w="0"/>
              <w:jc w:val="center"/>
              <w:tblLayout w:type="fixed"/>
              <w:tblLook w:firstColumn="1" w:firstRow="1" w:lastColumn="0" w:lastRow="0" w:noHBand="0" w:noVBand="1" w:val="04A0"/>
            </w:tblPr>
            <w:tblGrid>
              <w:gridCol w:w="227"/>
            </w:tblGrid>
            <w:tr>
              <w:trPr>
                <w:trHeight w:val="226" w:hRule="exact"/>
              </w:trPr>
              <w:tc>
                <w:tcPr>
                  <w:tcW w:type="dxa" w:w="227"/>
                  <w:tcBorders>
                    <w:top w:val="single" w:sz="6" w:space="0" w:color="6B7280"/>
                    <w:bottom w:val="single" w:sz="6" w:space="0" w:color="6B7280"/>
                    <w:left w:val="single" w:sz="6" w:space="0" w:color="6B7280"/>
                    <w:right w:val="single" w:sz="6" w:space="0" w:color="6B7280"/>
                  </w:tcBorders>
                  <w:tcMar>
                    <w:top w:w="0" w:type="dxa"/>
                    <w:left w:w="0" w:type="dxa"/>
                    <w:bottom w:w="0" w:type="dxa"/>
                    <w:right w:w="0" w:type="dxa"/>
                  </w:tcMar>
                </w:tcPr>
                <w:p>
                  <w:pPr>
                    <w:spacing w:before="0" w:after="0" w:line="240" w:lineRule="auto"/>
                  </w:pPr>
                  <w:r>
                    <w:rPr>
                      <w:rFonts w:ascii="Inter" w:hAnsi="Inter" w:cs="Inter" w:eastAsia="Inter"/>
                      <w:b w:val="0"/>
                      <w:i w:val="0"/>
                      <w:color w:val="35394F"/>
                      <w:sz w:val="12"/>
                    </w:rPr>
                  </w:r>
                </w:p>
              </w:tc>
            </w:tr>
          </w:tbl>
          <w:p/>
        </w:tc>
      </w:tr>
      <w:tr>
        <w:trPr>
          <w:cantSplit w:val="1"/>
        </w:trPr>
        <w:tc>
          <w:tcPr>
            <w:tcW w:type="dxa" w:w="7172"/>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Re-run risk classification when a system's use case changes.</w:t>
            </w:r>
          </w:p>
        </w:tc>
        <w:tc>
          <w:tcPr>
            <w:tcW w:type="dxa" w:w="940"/>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987"/>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765"/>
            <w:tcBorders>
              <w:bottom w:val="single" w:sz="2" w:space="0" w:color="E5E7EB"/>
            </w:tcBorders>
            <w:shd w:val="clear" w:color="auto" w:fill="F9FAFB"/>
            <w:tcMar>
              <w:top w:w="80" w:type="dxa"/>
              <w:left w:w="120" w:type="dxa"/>
              <w:bottom w:w="80" w:type="dxa"/>
              <w:right w:w="120" w:type="dxa"/>
            </w:tcMar>
            <w:vAlign w:val="top"/>
          </w:tcPr>
          <w:p>
            <w:pPr>
              <w:spacing w:before="0" w:after="0" w:line="40" w:lineRule="exact"/>
              <w:jc w:val="center"/>
            </w:pPr>
          </w:p>
          <w:tbl>
            <w:tblPr>
              <w:tblW w:type="auto" w:w="0"/>
              <w:jc w:val="center"/>
              <w:tblLayout w:type="fixed"/>
              <w:tblLook w:firstColumn="1" w:firstRow="1" w:lastColumn="0" w:lastRow="0" w:noHBand="0" w:noVBand="1" w:val="04A0"/>
            </w:tblPr>
            <w:tblGrid>
              <w:gridCol w:w="227"/>
            </w:tblGrid>
            <w:tr>
              <w:trPr>
                <w:trHeight w:val="226" w:hRule="exact"/>
              </w:trPr>
              <w:tc>
                <w:tcPr>
                  <w:tcW w:type="dxa" w:w="227"/>
                  <w:tcBorders>
                    <w:top w:val="single" w:sz="6" w:space="0" w:color="6B7280"/>
                    <w:bottom w:val="single" w:sz="6" w:space="0" w:color="6B7280"/>
                    <w:left w:val="single" w:sz="6" w:space="0" w:color="6B7280"/>
                    <w:right w:val="single" w:sz="6" w:space="0" w:color="6B7280"/>
                  </w:tcBorders>
                  <w:tcMar>
                    <w:top w:w="0" w:type="dxa"/>
                    <w:left w:w="0" w:type="dxa"/>
                    <w:bottom w:w="0" w:type="dxa"/>
                    <w:right w:w="0" w:type="dxa"/>
                  </w:tcMar>
                </w:tcPr>
                <w:p>
                  <w:pPr>
                    <w:spacing w:before="0" w:after="0" w:line="240" w:lineRule="auto"/>
                  </w:pPr>
                  <w:r>
                    <w:rPr>
                      <w:rFonts w:ascii="Inter" w:hAnsi="Inter" w:cs="Inter" w:eastAsia="Inter"/>
                      <w:b w:val="0"/>
                      <w:i w:val="0"/>
                      <w:color w:val="35394F"/>
                      <w:sz w:val="12"/>
                    </w:rPr>
                  </w:r>
                </w:p>
              </w:tc>
            </w:tr>
          </w:tbl>
          <w:p/>
        </w:tc>
      </w:tr>
      <w:tr>
        <w:trPr>
          <w:cantSplit w:val="1"/>
        </w:trPr>
        <w:tc>
          <w:tcPr>
            <w:tcW w:type="dxa" w:w="7172"/>
            <w:tcBorders>
              <w:bottom w:val="single" w:sz="2" w:space="0" w:color="E5E7EB"/>
            </w:tcBorders>
            <w:shd w:val="clear" w:color="auto" w:fill="FFFFFF"/>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Refresh AI literacy training annually and at onboarding.</w:t>
            </w:r>
          </w:p>
        </w:tc>
        <w:tc>
          <w:tcPr>
            <w:tcW w:type="dxa" w:w="940"/>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987"/>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765"/>
            <w:tcBorders>
              <w:bottom w:val="single" w:sz="2" w:space="0" w:color="E5E7EB"/>
            </w:tcBorders>
            <w:shd w:val="clear" w:color="auto" w:fill="FFFFFF"/>
            <w:tcMar>
              <w:top w:w="80" w:type="dxa"/>
              <w:left w:w="120" w:type="dxa"/>
              <w:bottom w:w="80" w:type="dxa"/>
              <w:right w:w="120" w:type="dxa"/>
            </w:tcMar>
            <w:vAlign w:val="top"/>
          </w:tcPr>
          <w:p>
            <w:pPr>
              <w:spacing w:before="0" w:after="0" w:line="40" w:lineRule="exact"/>
              <w:jc w:val="center"/>
            </w:pPr>
          </w:p>
          <w:tbl>
            <w:tblPr>
              <w:tblW w:type="auto" w:w="0"/>
              <w:jc w:val="center"/>
              <w:tblLayout w:type="fixed"/>
              <w:tblLook w:firstColumn="1" w:firstRow="1" w:lastColumn="0" w:lastRow="0" w:noHBand="0" w:noVBand="1" w:val="04A0"/>
            </w:tblPr>
            <w:tblGrid>
              <w:gridCol w:w="227"/>
            </w:tblGrid>
            <w:tr>
              <w:trPr>
                <w:trHeight w:val="226" w:hRule="exact"/>
              </w:trPr>
              <w:tc>
                <w:tcPr>
                  <w:tcW w:type="dxa" w:w="227"/>
                  <w:tcBorders>
                    <w:top w:val="single" w:sz="6" w:space="0" w:color="6B7280"/>
                    <w:bottom w:val="single" w:sz="6" w:space="0" w:color="6B7280"/>
                    <w:left w:val="single" w:sz="6" w:space="0" w:color="6B7280"/>
                    <w:right w:val="single" w:sz="6" w:space="0" w:color="6B7280"/>
                  </w:tcBorders>
                  <w:tcMar>
                    <w:top w:w="0" w:type="dxa"/>
                    <w:left w:w="0" w:type="dxa"/>
                    <w:bottom w:w="0" w:type="dxa"/>
                    <w:right w:w="0" w:type="dxa"/>
                  </w:tcMar>
                </w:tcPr>
                <w:p>
                  <w:pPr>
                    <w:spacing w:before="0" w:after="0" w:line="240" w:lineRule="auto"/>
                  </w:pPr>
                  <w:r>
                    <w:rPr>
                      <w:rFonts w:ascii="Inter" w:hAnsi="Inter" w:cs="Inter" w:eastAsia="Inter"/>
                      <w:b w:val="0"/>
                      <w:i w:val="0"/>
                      <w:color w:val="35394F"/>
                      <w:sz w:val="12"/>
                    </w:rPr>
                  </w:r>
                </w:p>
              </w:tc>
            </w:tr>
          </w:tbl>
          <w:p/>
        </w:tc>
      </w:tr>
      <w:tr>
        <w:trPr>
          <w:cantSplit w:val="1"/>
        </w:trPr>
        <w:tc>
          <w:tcPr>
            <w:tcW w:type="dxa" w:w="7172"/>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Track regulatory updates (new phase-in dates, guidance) and adjust documentation accordingly.</w:t>
            </w:r>
          </w:p>
        </w:tc>
        <w:tc>
          <w:tcPr>
            <w:tcW w:type="dxa" w:w="940"/>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987"/>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765"/>
            <w:tcBorders>
              <w:bottom w:val="single" w:sz="2" w:space="0" w:color="E5E7EB"/>
            </w:tcBorders>
            <w:shd w:val="clear" w:color="auto" w:fill="F9FAFB"/>
            <w:tcMar>
              <w:top w:w="80" w:type="dxa"/>
              <w:left w:w="120" w:type="dxa"/>
              <w:bottom w:w="80" w:type="dxa"/>
              <w:right w:w="120" w:type="dxa"/>
            </w:tcMar>
            <w:vAlign w:val="top"/>
          </w:tcPr>
          <w:p>
            <w:pPr>
              <w:spacing w:before="0" w:after="0" w:line="40" w:lineRule="exact"/>
              <w:jc w:val="center"/>
            </w:pPr>
          </w:p>
          <w:tbl>
            <w:tblPr>
              <w:tblW w:type="auto" w:w="0"/>
              <w:jc w:val="center"/>
              <w:tblLayout w:type="fixed"/>
              <w:tblLook w:firstColumn="1" w:firstRow="1" w:lastColumn="0" w:lastRow="0" w:noHBand="0" w:noVBand="1" w:val="04A0"/>
            </w:tblPr>
            <w:tblGrid>
              <w:gridCol w:w="227"/>
            </w:tblGrid>
            <w:tr>
              <w:trPr>
                <w:trHeight w:val="226" w:hRule="exact"/>
              </w:trPr>
              <w:tc>
                <w:tcPr>
                  <w:tcW w:type="dxa" w:w="227"/>
                  <w:tcBorders>
                    <w:top w:val="single" w:sz="6" w:space="0" w:color="6B7280"/>
                    <w:bottom w:val="single" w:sz="6" w:space="0" w:color="6B7280"/>
                    <w:left w:val="single" w:sz="6" w:space="0" w:color="6B7280"/>
                    <w:right w:val="single" w:sz="6" w:space="0" w:color="6B7280"/>
                  </w:tcBorders>
                  <w:tcMar>
                    <w:top w:w="0" w:type="dxa"/>
                    <w:left w:w="0" w:type="dxa"/>
                    <w:bottom w:w="0" w:type="dxa"/>
                    <w:right w:w="0" w:type="dxa"/>
                  </w:tcMar>
                </w:tcPr>
                <w:p>
                  <w:pPr>
                    <w:spacing w:before="0" w:after="0" w:line="240" w:lineRule="auto"/>
                  </w:pPr>
                  <w:r>
                    <w:rPr>
                      <w:rFonts w:ascii="Inter" w:hAnsi="Inter" w:cs="Inter" w:eastAsia="Inter"/>
                      <w:b w:val="0"/>
                      <w:i w:val="0"/>
                      <w:color w:val="35394F"/>
                      <w:sz w:val="12"/>
                    </w:rPr>
                  </w:r>
                </w:p>
              </w:tc>
            </w:tr>
          </w:tbl>
          <w:p/>
        </w:tc>
      </w:tr>
    </w:tbl>
    <w:p>
      <w:pPr>
        <w:spacing w:before="0" w:after="0" w:line="160" w:lineRule="exact"/>
      </w:pPr>
    </w:p>
    <w:p>
      <w:pPr>
        <w:pBdr>
          <w:top w:val="single" w:sz="4" w:space="0" w:color="E5E7EB"/>
        </w:pBdr>
        <w:spacing w:before="200" w:after="200" w:line="20" w:lineRule="exact"/>
      </w:pP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Readiness summary</w:t>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3551"/>
        <w:gridCol w:w="6313"/>
      </w:tblGrid>
      <w:tr>
        <w:trPr>
          <w:cantSplit w:val="1"/>
        </w:trPr>
        <w:tc>
          <w:tcPr>
            <w:tcW w:type="dxa" w:w="3551"/>
            <w:tcBorders>
              <w:bottom w:val="single" w:sz="2" w:space="0" w:color="E5E7EB"/>
            </w:tcBorders>
            <w:shd w:val="clear" w:color="auto" w:fill="F9FAFB"/>
            <w:tcMar>
              <w:top w:w="90" w:type="dxa"/>
              <w:left w:w="0" w:type="dxa"/>
              <w:bottom w:w="90" w:type="dxa"/>
              <w:right w:w="120" w:type="dxa"/>
            </w:tcMar>
            <w:vAlign w:val="top"/>
          </w:tcPr>
          <w:p>
            <w:pPr>
              <w:spacing w:before="0" w:after="0" w:line="300" w:lineRule="auto"/>
              <w:ind w:left="260" w:right="0"/>
            </w:pPr>
            <w:r>
              <w:rPr>
                <w:rFonts w:ascii="Inter" w:hAnsi="Inter" w:cs="Inter" w:eastAsia="Inter"/>
                <w:b/>
                <w:i w:val="0"/>
                <w:color w:val="35394F"/>
                <w:sz w:val="20"/>
              </w:rPr>
              <w:t>Overall readiness status:</w:t>
            </w:r>
          </w:p>
        </w:tc>
        <w:tc>
          <w:tcPr>
            <w:tcW w:type="dxa" w:w="6313"/>
            <w:tcBorders>
              <w:bottom w:val="single" w:sz="2" w:space="0" w:color="E5E7EB"/>
            </w:tcBorders>
            <w:tcMar>
              <w:top w:w="90" w:type="dxa"/>
              <w:left w:w="120" w:type="dxa"/>
              <w:bottom w:w="90" w:type="dxa"/>
              <w:right w:w="120" w:type="dxa"/>
            </w:tcMar>
            <w:vAlign w:val="top"/>
          </w:tcPr>
          <w:p>
            <w:pPr>
              <w:spacing w:before="0" w:after="0" w:line="300" w:lineRule="auto"/>
            </w:pPr>
            <w:r>
              <w:rPr>
                <w:rFonts w:ascii="Inter" w:hAnsi="Inter" w:cs="Inter" w:eastAsia="Inter"/>
                <w:b w:val="0"/>
                <w:i w:val="0"/>
                <w:color w:val="35394F"/>
                <w:sz w:val="20"/>
              </w:rPr>
              <w:t>☐ Not started   ☐ In progress   ☐ Substantially ready   ☐ Maintained</w:t>
            </w:r>
          </w:p>
        </w:tc>
      </w:tr>
      <w:tr>
        <w:trPr>
          <w:cantSplit w:val="1"/>
        </w:trPr>
        <w:tc>
          <w:tcPr>
            <w:tcW w:type="dxa" w:w="3551"/>
            <w:tcBorders>
              <w:bottom w:val="single" w:sz="2" w:space="0" w:color="E5E7EB"/>
            </w:tcBorders>
            <w:shd w:val="clear" w:color="auto" w:fill="F9FAFB"/>
            <w:tcMar>
              <w:top w:w="90" w:type="dxa"/>
              <w:left w:w="0" w:type="dxa"/>
              <w:bottom w:w="90" w:type="dxa"/>
              <w:right w:w="120" w:type="dxa"/>
            </w:tcMar>
            <w:vAlign w:val="top"/>
          </w:tcPr>
          <w:p>
            <w:pPr>
              <w:spacing w:before="0" w:after="0" w:line="300" w:lineRule="auto"/>
              <w:ind w:left="260" w:right="0"/>
            </w:pPr>
            <w:r>
              <w:rPr>
                <w:rFonts w:ascii="Inter" w:hAnsi="Inter" w:cs="Inter" w:eastAsia="Inter"/>
                <w:b/>
                <w:i w:val="0"/>
                <w:color w:val="35394F"/>
                <w:sz w:val="20"/>
              </w:rPr>
              <w:t>Roadmap owner / sign-off:</w:t>
            </w:r>
          </w:p>
        </w:tc>
        <w:tc>
          <w:tcPr>
            <w:tcW w:type="dxa" w:w="6313"/>
            <w:tcBorders>
              <w:bottom w:val="single" w:sz="2" w:space="0" w:color="E5E7EB"/>
            </w:tcBorders>
            <w:tcMar>
              <w:top w:w="90" w:type="dxa"/>
              <w:left w:w="120" w:type="dxa"/>
              <w:bottom w:w="90" w:type="dxa"/>
              <w:right w:w="120" w:type="dxa"/>
            </w:tcMar>
            <w:vAlign w:val="top"/>
          </w:tcPr>
          <w:p>
            <w:pPr>
              <w:spacing w:before="0" w:after="0" w:line="300" w:lineRule="auto"/>
            </w:pPr>
            <w:r>
              <w:rPr>
                <w:rFonts w:ascii="Inter" w:hAnsi="Inter" w:cs="Inter" w:eastAsia="Inter"/>
                <w:b w:val="0"/>
                <w:i w:val="0"/>
                <w:color w:val="35394F"/>
                <w:sz w:val="20"/>
              </w:rPr>
              <w:t>______________</w:t>
            </w:r>
            <w:r>
              <w:rPr>
                <w:rFonts w:ascii="Inter" w:hAnsi="Inter" w:cs="Inter" w:eastAsia="Inter"/>
                <w:b w:val="0"/>
                <w:i w:val="0"/>
                <w:color w:val="35394F"/>
                <w:sz w:val="20"/>
              </w:rPr>
              <w:t xml:space="preserve"> (Name)</w:t>
            </w:r>
            <w:r>
              <w:rPr>
                <w:rFonts w:ascii="Inter" w:hAnsi="Inter" w:cs="Inter" w:eastAsia="Inter"/>
                <w:b w:val="0"/>
                <w:i w:val="0"/>
                <w:color w:val="35394F"/>
                <w:sz w:val="20"/>
              </w:rPr>
              <w:t xml:space="preserve"> ______________</w:t>
            </w:r>
            <w:r>
              <w:rPr>
                <w:rFonts w:ascii="Inter" w:hAnsi="Inter" w:cs="Inter" w:eastAsia="Inter"/>
                <w:b w:val="0"/>
                <w:i w:val="0"/>
                <w:color w:val="35394F"/>
                <w:sz w:val="20"/>
              </w:rPr>
              <w:t xml:space="preserve"> (Date)</w:t>
            </w:r>
          </w:p>
        </w:tc>
      </w:tr>
    </w:tbl>
    <w:p>
      <w:pPr>
        <w:spacing w:before="0" w:after="0" w:line="160" w:lineRule="exact"/>
      </w:pPr>
    </w:p>
    <w:p>
      <w:pPr>
        <w:pBdr>
          <w:top w:val="single" w:sz="4" w:space="0" w:color="E5E7EB"/>
        </w:pBdr>
        <w:spacing w:before="200" w:after="200" w:line="20" w:lineRule="exact"/>
      </w:pP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9865"/>
      </w:tblGrid>
      <w:tr>
        <w:trPr>
          <w:cantSplit w:val="1"/>
        </w:trPr>
        <w:tc>
          <w:tcPr>
            <w:tcW w:type="dxa" w:w="9865"/>
            <w:tcBorders>
              <w:top w:val="single" w:sz="8" w:space="0" w:color="35394F"/>
            </w:tcBorders>
            <w:shd w:val="clear" w:color="auto" w:fill="F9FAFB"/>
            <w:tcMar>
              <w:top w:w="150" w:type="dxa"/>
              <w:left w:w="0" w:type="dxa"/>
              <w:bottom w:w="150" w:type="dxa"/>
              <w:right w:w="0" w:type="dxa"/>
            </w:tcMar>
          </w:tcPr>
          <w:p>
            <w:pPr>
              <w:spacing w:before="0" w:after="0" w:line="312" w:lineRule="auto"/>
              <w:ind w:left="260" w:right="260"/>
            </w:pPr>
            <w:r>
              <w:rPr>
                <w:rFonts w:ascii="Inter" w:hAnsi="Inter" w:cs="Inter" w:eastAsia="Inter"/>
                <w:b w:val="0"/>
                <w:i w:val="0"/>
                <w:color w:val="6B7280"/>
                <w:sz w:val="16"/>
              </w:rPr>
              <w:t>This roadmap is provided for guidance only and does not constitute legal advice. It is based on Regulation (EU) 2024/1689 (EU AI Act). Reviewed by a certified Data Protection Officer (CIPP/E). Provided by ETHYX – ethyx.eu. GDPR max fine: €20M / 4% turnover. EU AI Act max fine: €35M / 7% turnover. Timeline note (Digital Omnibus, adopted June 2026): obligations for stand-alone Annex III high-risk systems, including the Art. 26/27 deployer duties this pack documents, apply from 2 December 2027 (Annex I systems: 2 August 2028). Unchanged: Art. 4 AI literacy (in force since 2 February 2025) and Art. 50 transparency (from 2 August 2026). Preparing this documentation early remains the recommended path - the obligations are deferred, not cancelled. Have your compliance programme reviewed by a qualified DPO or counsel. Version 1.1 · July 2026.</w:t>
            </w:r>
          </w:p>
        </w:tc>
      </w:tr>
    </w:tbl>
    <w:sectPr w:rsidR="00FC693F" w:rsidRPr="0006063C" w:rsidSect="00034616">
      <w:footerReference w:type="default" r:id="rId11"/>
      <w:pgSz w:w="11906" w:h="16838"/>
      <w:pgMar w:top="794" w:right="1020" w:bottom="850" w:left="1020" w:header="454" w:footer="51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Inter">
    <w:altName w:val="Arial"/>
    <w:embedRegular r:id="rId1" w:fontKey="{98A04F7C-5443-496B-B01D-9BA5EE827F33}"/>
    <w:embedBold r:id="rId2" w:fontKey="{1F75AE5B-FB51-4874-9E37-9CD21C3DA16E}"/>
  </w:font>
  <w:font w:name="Funnel Display">
    <w:altName w:val="Arial"/>
    <w:embedBold r:id="rId3" w:fontKey="{58F70D94-0E74-47FC-8BD0-0C1A4705964C}"/>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line="20" w:lineRule="exact"/>
    </w:pPr>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9371"/>
      <w:gridCol w:w="493"/>
    </w:tblGrid>
    <w:tr>
      <w:tc>
        <w:tcPr>
          <w:tcW w:type="dxa" w:w="9371"/>
          <w:tcBorders>
            <w:top w:val="single" w:sz="4" w:space="0" w:color="E5E7EB"/>
          </w:tcBorders>
          <w:tcMar>
            <w:top w:w="110" w:type="dxa"/>
            <w:left w:w="0" w:type="dxa"/>
            <w:bottom w:w="0" w:type="dxa"/>
            <w:right w:w="0" w:type="dxa"/>
          </w:tcMar>
        </w:tcPr>
        <w:p>
          <w:pPr>
            <w:spacing w:before="0" w:after="0" w:line="240" w:lineRule="auto"/>
          </w:pPr>
          <w:r>
            <w:rPr>
              <w:rFonts w:ascii="Inter" w:hAnsi="Inter" w:cs="Inter" w:eastAsia="Inter"/>
              <w:b w:val="0"/>
              <w:i w:val="0"/>
              <w:color w:val="6B7280"/>
              <w:sz w:val="14"/>
            </w:rPr>
            <w:t>EU AI Act Readiness Roadmap · Reviewed by a certified Data Protection Officer (CIPP/E) · Provided by ETHYX (</w:t>
          </w:r>
          <w:hyperlink r:id="rId1">
            <w:r>
              <w:rPr>
                <w:rFonts w:ascii="Inter" w:hAnsi="Inter" w:cs="Inter" w:eastAsia="Inter"/>
                <w:b w:val="0"/>
                <w:i w:val="0"/>
                <w:color w:val="6B7280"/>
                <w:sz w:val="14"/>
              </w:rPr>
              <w:t>ethyx.eu</w:t>
            </w:r>
          </w:hyperlink>
          <w:r>
            <w:rPr>
              <w:rFonts w:ascii="Inter" w:hAnsi="Inter" w:cs="Inter" w:eastAsia="Inter"/>
              <w:b w:val="0"/>
              <w:i w:val="0"/>
              <w:color w:val="6B7280"/>
              <w:sz w:val="14"/>
            </w:rPr>
            <w:t>) · For guidance only – not legal advice</w:t>
          </w:r>
        </w:p>
      </w:tc>
      <w:tc>
        <w:tcPr>
          <w:tcW w:type="dxa" w:w="493"/>
          <w:tcBorders>
            <w:top w:val="single" w:sz="4" w:space="0" w:color="E5E7EB"/>
          </w:tcBorders>
          <w:tcMar>
            <w:top w:w="110" w:type="dxa"/>
            <w:left w:w="0" w:type="dxa"/>
            <w:bottom w:w="0" w:type="dxa"/>
            <w:right w:w="260" w:type="dxa"/>
          </w:tcMar>
        </w:tcPr>
        <w:p>
          <w:pPr>
            <w:spacing w:before="0" w:after="0" w:line="240" w:lineRule="auto"/>
            <w:jc w:val="right"/>
            <w:rPr>
              <w:rFonts w:ascii="Inter" w:hAnsi="Inter" w:cs="Inter" w:eastAsia="Inter"/>
              <w:b w:val="0"/>
              <w:i w:val="0"/>
              <w:color w:val="6B7280"/>
              <w:sz w:val="14"/>
            </w:rPr>
          </w:pPr>
          <w:r>
            <w:rPr>
              <w:rFonts w:ascii="Inter" w:hAnsi="Inter" w:cs="Inter" w:eastAsia="Inter"/>
              <w:b w:val="0"/>
              <w:i w:val="0"/>
              <w:color w:val="6B7280"/>
              <w:sz w:val="14"/>
            </w:rPr>
            <w:fldChar w:fldCharType="begin"/>
          </w:r>
          <w:r>
            <w:rPr>
              <w:rFonts w:ascii="Inter" w:hAnsi="Inter" w:cs="Inter" w:eastAsia="Inter"/>
              <w:b w:val="0"/>
              <w:i w:val="0"/>
              <w:color w:val="6B7280"/>
              <w:sz w:val="14"/>
            </w:rPr>
            <w:instrText xml:space="preserve"> PAGE </w:instrText>
          </w:r>
          <w:r>
            <w:rPr>
              <w:rFonts w:ascii="Inter" w:hAnsi="Inter" w:cs="Inter" w:eastAsia="Inter"/>
              <w:b w:val="0"/>
              <w:i w:val="0"/>
              <w:color w:val="6B7280"/>
              <w:sz w:val="14"/>
            </w:rPr>
            <w:fldChar w:fldCharType="separate"/>
          </w:r>
          <w:r>
            <w:rPr>
              <w:rFonts w:ascii="Inter" w:hAnsi="Inter" w:cs="Inter" w:eastAsia="Inter"/>
              <w:b w:val="0"/>
              <w:i w:val="0"/>
              <w:color w:val="6B7280"/>
              <w:sz w:val="14"/>
            </w:rPr>
            <w:t/>
          </w:r>
          <w:r>
            <w:rPr>
              <w:rFonts w:ascii="Inter" w:hAnsi="Inter" w:cs="Inter" w:eastAsia="Inter"/>
              <w:b w:val="0"/>
              <w:i w:val="0"/>
              <w:color w:val="6B7280"/>
              <w:sz w:val="14"/>
            </w:rPr>
            <w:fldChar w:fldCharType="end"/>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embedTrueTypeFonts w:val="true"/>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300" w:lineRule="auto"/>
    </w:pPr>
    <w:rPr>
      <w:rFonts w:ascii="Inter" w:hAnsi="Inter" w:cs="Inter" w:eastAsia="Inter"/>
      <w:color w:val="35394F"/>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ethyx.eu/?utm_source=gated-asset&amp;utm_medium=document&amp;utm_campaign=ai-act-readiness-roadmap-en" TargetMode="External"/><Relationship Id="rId11"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font1.fntdata"/><Relationship Id="rId2" Type="http://schemas.openxmlformats.org/officeDocument/2006/relationships/font" Target="fonts/font2.fntdata"/><Relationship Id="rId3" Type="http://schemas.openxmlformats.org/officeDocument/2006/relationships/font" Target="fonts/font3.fntdata"/></Relationships>
</file>

<file path=word/_rels/footer1.xml.rels><?xml version='1.0' encoding='UTF-8' standalone='yes'?>
<Relationships xmlns="http://schemas.openxmlformats.org/package/2006/relationships"><Relationship Id="rId1" Type="http://schemas.openxmlformats.org/officeDocument/2006/relationships/hyperlink" Target="https://ethyx.eu/?utm_source=gated-asset&amp;utm_medium=document&amp;utm_campaign=ai-act-readiness-roadmap-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 AI Act Readiness Roadmap</dc:title>
  <dc:subject/>
  <dc:creator>ETHYX</dc:creator>
  <cp:keywords/>
  <dc:description>Legally reviewed by a certified Data Protection Officer (CIPP/E) · Provided by ETHYX · Version 1.1 · July 2026</dc:description>
  <cp:lastModifiedBy/>
  <cp:revision>1</cp:revision>
  <dcterms:created xsi:type="dcterms:W3CDTF">2013-12-23T23:15:00Z</dcterms:created>
  <dcterms:modified xsi:type="dcterms:W3CDTF">2013-12-23T23:15:00Z</dcterms:modified>
  <cp:category/>
</cp:coreProperties>
</file>